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778" w:rsidRPr="007418EB" w:rsidRDefault="00306778" w:rsidP="00306778">
      <w:pPr>
        <w:pStyle w:val="text"/>
        <w:tabs>
          <w:tab w:val="center" w:pos="1701"/>
          <w:tab w:val="center" w:pos="4253"/>
        </w:tabs>
        <w:spacing w:before="200"/>
        <w:ind w:firstLine="0"/>
        <w:jc w:val="center"/>
        <w:rPr>
          <w:rFonts w:ascii="Times New Roman" w:hAnsi="Times New Roman"/>
          <w:b/>
          <w:color w:val="000000" w:themeColor="text1"/>
          <w:sz w:val="24"/>
          <w:szCs w:val="24"/>
        </w:rPr>
      </w:pPr>
      <w:bookmarkStart w:id="0" w:name="_Toc26690742"/>
      <w:bookmarkStart w:id="1" w:name="_Toc26691683"/>
      <w:r w:rsidRPr="007418EB">
        <w:rPr>
          <w:rFonts w:ascii="Times New Roman" w:hAnsi="Times New Roman"/>
          <w:b/>
          <w:color w:val="000000" w:themeColor="text1"/>
          <w:sz w:val="24"/>
          <w:szCs w:val="24"/>
        </w:rPr>
        <w:t>MINISTRY OF EDUCATION AND TRAINING</w:t>
      </w:r>
    </w:p>
    <w:p w:rsidR="00306778" w:rsidRPr="007418EB" w:rsidRDefault="00306778" w:rsidP="00306778">
      <w:pPr>
        <w:spacing w:after="120" w:line="340" w:lineRule="exact"/>
        <w:jc w:val="center"/>
        <w:rPr>
          <w:rFonts w:ascii="Times New Roman" w:hAnsi="Times New Roman" w:cs="Times New Roman"/>
          <w:b/>
          <w:color w:val="000000" w:themeColor="text1"/>
          <w:sz w:val="24"/>
          <w:szCs w:val="24"/>
        </w:rPr>
      </w:pPr>
      <w:r w:rsidRPr="007418EB">
        <w:rPr>
          <w:rFonts w:ascii="Times New Roman" w:hAnsi="Times New Roman" w:cs="Times New Roman"/>
          <w:b/>
          <w:color w:val="000000" w:themeColor="text1"/>
          <w:sz w:val="24"/>
          <w:szCs w:val="24"/>
        </w:rPr>
        <w:t>UNIVERSITY OF ECONOMICS HO CHI MINH CITY</w:t>
      </w:r>
    </w:p>
    <w:p w:rsidR="003F4755" w:rsidRPr="007418EB" w:rsidRDefault="003F4755" w:rsidP="003F4755">
      <w:pPr>
        <w:spacing w:after="120" w:line="340" w:lineRule="exact"/>
        <w:jc w:val="center"/>
        <w:rPr>
          <w:rFonts w:ascii="Times New Roman" w:hAnsi="Times New Roman" w:cs="Times New Roman"/>
          <w:color w:val="000000" w:themeColor="text1"/>
          <w:sz w:val="26"/>
          <w:szCs w:val="26"/>
        </w:rPr>
      </w:pPr>
      <w:r w:rsidRPr="007418EB">
        <w:rPr>
          <w:rFonts w:ascii="Times New Roman" w:hAnsi="Times New Roman" w:cs="Times New Roman"/>
          <w:color w:val="000000" w:themeColor="text1"/>
          <w:sz w:val="26"/>
          <w:szCs w:val="26"/>
        </w:rPr>
        <w:t>-------------------------</w:t>
      </w:r>
    </w:p>
    <w:p w:rsidR="003F4755" w:rsidRPr="007418EB" w:rsidRDefault="007418EB" w:rsidP="003F4755">
      <w:pPr>
        <w:spacing w:after="120" w:line="340" w:lineRule="exact"/>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LE THI HONG MINH</w:t>
      </w:r>
    </w:p>
    <w:p w:rsidR="003F4755" w:rsidRPr="007418EB" w:rsidRDefault="003F4755" w:rsidP="003F4755">
      <w:pPr>
        <w:spacing w:after="120" w:line="340" w:lineRule="exact"/>
        <w:jc w:val="center"/>
        <w:rPr>
          <w:rFonts w:ascii="Times New Roman" w:hAnsi="Times New Roman" w:cs="Times New Roman"/>
          <w:color w:val="000000" w:themeColor="text1"/>
          <w:sz w:val="26"/>
          <w:szCs w:val="26"/>
        </w:rPr>
      </w:pPr>
    </w:p>
    <w:p w:rsidR="003F4755" w:rsidRPr="007418EB" w:rsidRDefault="003F4755" w:rsidP="003F4755">
      <w:pPr>
        <w:spacing w:after="120" w:line="340" w:lineRule="exact"/>
        <w:jc w:val="center"/>
        <w:rPr>
          <w:rFonts w:ascii="Times New Roman" w:hAnsi="Times New Roman" w:cs="Times New Roman"/>
          <w:b/>
          <w:color w:val="000000" w:themeColor="text1"/>
          <w:sz w:val="32"/>
          <w:szCs w:val="32"/>
        </w:rPr>
      </w:pPr>
    </w:p>
    <w:p w:rsidR="003F4755" w:rsidRPr="007418EB" w:rsidRDefault="003F4755" w:rsidP="003F4755">
      <w:pPr>
        <w:spacing w:after="120" w:line="340" w:lineRule="exact"/>
        <w:jc w:val="center"/>
        <w:rPr>
          <w:rFonts w:ascii="Times New Roman" w:hAnsi="Times New Roman" w:cs="Times New Roman"/>
          <w:color w:val="000000" w:themeColor="text1"/>
        </w:rPr>
      </w:pPr>
    </w:p>
    <w:p w:rsidR="003F4755" w:rsidRPr="007418EB" w:rsidRDefault="009D4EA1" w:rsidP="003F4755">
      <w:pPr>
        <w:jc w:val="center"/>
        <w:rPr>
          <w:rFonts w:ascii="Times New Roman" w:hAnsi="Times New Roman" w:cs="Times New Roman"/>
          <w:b/>
          <w:color w:val="000000" w:themeColor="text1"/>
          <w:sz w:val="32"/>
          <w:szCs w:val="32"/>
        </w:rPr>
      </w:pPr>
      <w:r w:rsidRPr="007418EB">
        <w:rPr>
          <w:rFonts w:ascii="Times New Roman" w:hAnsi="Times New Roman" w:cs="Times New Roman"/>
          <w:b/>
          <w:color w:val="000000" w:themeColor="text1"/>
          <w:sz w:val="32"/>
          <w:szCs w:val="32"/>
          <w:lang w:val="en-US"/>
        </w:rPr>
        <w:t>EXCHANGE RATE EXPOSURE - RESEARCH IN VIETNAM AND SOUTHEAST ASIAN COUNTRIES</w:t>
      </w:r>
    </w:p>
    <w:p w:rsidR="003F4755" w:rsidRPr="007418EB" w:rsidRDefault="003F4755" w:rsidP="003F4755">
      <w:pPr>
        <w:spacing w:after="120" w:line="340" w:lineRule="exact"/>
        <w:jc w:val="center"/>
        <w:rPr>
          <w:rFonts w:ascii="Times New Roman" w:hAnsi="Times New Roman" w:cs="Times New Roman"/>
          <w:color w:val="000000" w:themeColor="text1"/>
        </w:rPr>
      </w:pPr>
    </w:p>
    <w:p w:rsidR="003F4755" w:rsidRPr="007418EB" w:rsidRDefault="003F4755" w:rsidP="003F4755">
      <w:pPr>
        <w:spacing w:after="120" w:line="340" w:lineRule="exact"/>
        <w:jc w:val="center"/>
        <w:rPr>
          <w:rFonts w:ascii="Times New Roman" w:hAnsi="Times New Roman" w:cs="Times New Roman"/>
          <w:color w:val="000000" w:themeColor="text1"/>
        </w:rPr>
      </w:pPr>
    </w:p>
    <w:p w:rsidR="003F4755" w:rsidRPr="007418EB" w:rsidRDefault="003F4755" w:rsidP="003F4755">
      <w:pPr>
        <w:rPr>
          <w:rFonts w:ascii="Times New Roman" w:hAnsi="Times New Roman" w:cs="Times New Roman"/>
          <w:b/>
          <w:color w:val="000000" w:themeColor="text1"/>
          <w:sz w:val="28"/>
          <w:szCs w:val="28"/>
        </w:rPr>
      </w:pPr>
      <w:r w:rsidRPr="007418EB">
        <w:rPr>
          <w:rFonts w:ascii="Times New Roman" w:hAnsi="Times New Roman" w:cs="Times New Roman"/>
          <w:b/>
          <w:color w:val="000000" w:themeColor="text1"/>
          <w:sz w:val="28"/>
          <w:szCs w:val="28"/>
        </w:rPr>
        <w:t xml:space="preserve">            </w:t>
      </w:r>
      <w:r w:rsidR="00306778" w:rsidRPr="007418EB">
        <w:rPr>
          <w:rFonts w:ascii="Times New Roman" w:hAnsi="Times New Roman" w:cs="Times New Roman"/>
          <w:b/>
          <w:color w:val="000000" w:themeColor="text1"/>
          <w:sz w:val="28"/>
          <w:szCs w:val="28"/>
        </w:rPr>
        <w:tab/>
      </w:r>
      <w:r w:rsidR="00306778" w:rsidRPr="007418EB">
        <w:rPr>
          <w:rFonts w:ascii="Times New Roman" w:hAnsi="Times New Roman" w:cs="Times New Roman"/>
          <w:b/>
          <w:color w:val="000000" w:themeColor="text1"/>
          <w:sz w:val="28"/>
          <w:szCs w:val="28"/>
        </w:rPr>
        <w:tab/>
      </w:r>
      <w:r w:rsidR="00306778" w:rsidRPr="007418EB">
        <w:rPr>
          <w:rFonts w:ascii="Times New Roman" w:hAnsi="Times New Roman" w:cs="Times New Roman"/>
          <w:b/>
          <w:color w:val="000000" w:themeColor="text1"/>
          <w:sz w:val="28"/>
          <w:szCs w:val="28"/>
        </w:rPr>
        <w:tab/>
        <w:t>Major</w:t>
      </w:r>
      <w:r w:rsidRPr="007418EB">
        <w:rPr>
          <w:rFonts w:ascii="Times New Roman" w:hAnsi="Times New Roman" w:cs="Times New Roman"/>
          <w:b/>
          <w:color w:val="000000" w:themeColor="text1"/>
          <w:sz w:val="28"/>
          <w:szCs w:val="28"/>
        </w:rPr>
        <w:t xml:space="preserve">: </w:t>
      </w:r>
      <w:r w:rsidR="00306778" w:rsidRPr="007418EB">
        <w:rPr>
          <w:rFonts w:ascii="Times New Roman" w:hAnsi="Times New Roman" w:cs="Times New Roman"/>
          <w:b/>
          <w:color w:val="000000" w:themeColor="text1"/>
          <w:sz w:val="28"/>
          <w:szCs w:val="28"/>
        </w:rPr>
        <w:t>Finance - Banking</w:t>
      </w:r>
    </w:p>
    <w:p w:rsidR="003F4755" w:rsidRPr="007418EB" w:rsidRDefault="003F4755" w:rsidP="003F4755">
      <w:pPr>
        <w:jc w:val="center"/>
        <w:rPr>
          <w:rFonts w:ascii="Times New Roman" w:hAnsi="Times New Roman" w:cs="Times New Roman"/>
          <w:color w:val="000000" w:themeColor="text1"/>
          <w:sz w:val="26"/>
          <w:szCs w:val="26"/>
        </w:rPr>
      </w:pPr>
      <w:r w:rsidRPr="007418EB">
        <w:rPr>
          <w:rFonts w:ascii="Times New Roman" w:hAnsi="Times New Roman" w:cs="Times New Roman"/>
          <w:b/>
          <w:color w:val="000000" w:themeColor="text1"/>
          <w:sz w:val="28"/>
          <w:szCs w:val="28"/>
        </w:rPr>
        <w:t xml:space="preserve">     </w:t>
      </w:r>
      <w:r w:rsidR="00306778" w:rsidRPr="007418EB">
        <w:rPr>
          <w:rFonts w:ascii="Times New Roman" w:hAnsi="Times New Roman" w:cs="Times New Roman"/>
          <w:b/>
          <w:color w:val="000000" w:themeColor="text1"/>
          <w:sz w:val="28"/>
          <w:szCs w:val="28"/>
        </w:rPr>
        <w:tab/>
      </w:r>
      <w:r w:rsidR="00306778" w:rsidRPr="007418EB">
        <w:rPr>
          <w:rFonts w:ascii="Times New Roman" w:hAnsi="Times New Roman" w:cs="Times New Roman"/>
          <w:b/>
          <w:color w:val="000000" w:themeColor="text1"/>
          <w:sz w:val="28"/>
          <w:szCs w:val="28"/>
        </w:rPr>
        <w:tab/>
        <w:t>Code</w:t>
      </w:r>
      <w:r w:rsidRPr="007418EB">
        <w:rPr>
          <w:rFonts w:ascii="Times New Roman" w:hAnsi="Times New Roman" w:cs="Times New Roman"/>
          <w:b/>
          <w:color w:val="000000" w:themeColor="text1"/>
          <w:sz w:val="28"/>
          <w:szCs w:val="28"/>
        </w:rPr>
        <w:t>: 9340201</w:t>
      </w:r>
    </w:p>
    <w:p w:rsidR="003F4755" w:rsidRPr="007418EB" w:rsidRDefault="003F4755" w:rsidP="003F4755">
      <w:pPr>
        <w:spacing w:after="120" w:line="340" w:lineRule="exact"/>
        <w:jc w:val="center"/>
        <w:rPr>
          <w:rFonts w:ascii="Times New Roman" w:hAnsi="Times New Roman" w:cs="Times New Roman"/>
          <w:color w:val="000000" w:themeColor="text1"/>
          <w:sz w:val="26"/>
          <w:szCs w:val="26"/>
        </w:rPr>
      </w:pPr>
    </w:p>
    <w:p w:rsidR="003F4755" w:rsidRPr="007418EB" w:rsidRDefault="003F4755" w:rsidP="003F4755">
      <w:pPr>
        <w:spacing w:after="120" w:line="340" w:lineRule="exact"/>
        <w:ind w:firstLine="1890"/>
        <w:rPr>
          <w:rFonts w:ascii="Times New Roman" w:hAnsi="Times New Roman" w:cs="Times New Roman"/>
          <w:color w:val="000000" w:themeColor="text1"/>
          <w:sz w:val="26"/>
          <w:szCs w:val="26"/>
        </w:rPr>
      </w:pPr>
    </w:p>
    <w:p w:rsidR="003F4755" w:rsidRPr="007418EB" w:rsidRDefault="003F4755" w:rsidP="003F4755">
      <w:pPr>
        <w:spacing w:after="120" w:line="340" w:lineRule="exact"/>
        <w:ind w:firstLine="1890"/>
        <w:rPr>
          <w:rFonts w:ascii="Times New Roman" w:hAnsi="Times New Roman" w:cs="Times New Roman"/>
          <w:color w:val="000000" w:themeColor="text1"/>
          <w:sz w:val="26"/>
          <w:szCs w:val="26"/>
        </w:rPr>
      </w:pPr>
    </w:p>
    <w:p w:rsidR="003F4755" w:rsidRPr="007418EB" w:rsidRDefault="00306778" w:rsidP="003F4755">
      <w:pPr>
        <w:spacing w:after="120" w:line="340" w:lineRule="exact"/>
        <w:jc w:val="center"/>
        <w:rPr>
          <w:rFonts w:ascii="Times New Roman" w:hAnsi="Times New Roman" w:cs="Times New Roman"/>
          <w:b/>
          <w:color w:val="000000" w:themeColor="text1"/>
          <w:sz w:val="28"/>
          <w:szCs w:val="28"/>
        </w:rPr>
      </w:pPr>
      <w:r w:rsidRPr="007418EB">
        <w:rPr>
          <w:rFonts w:ascii="Times New Roman" w:hAnsi="Times New Roman" w:cs="Times New Roman"/>
          <w:b/>
          <w:color w:val="000000" w:themeColor="text1"/>
          <w:sz w:val="28"/>
          <w:szCs w:val="28"/>
        </w:rPr>
        <w:t>SUMMARY OF ECONOMICS PH.D</w:t>
      </w:r>
      <w:r w:rsidR="00B1684C" w:rsidRPr="007418EB">
        <w:rPr>
          <w:rFonts w:ascii="Times New Roman" w:hAnsi="Times New Roman" w:cs="Times New Roman"/>
          <w:b/>
          <w:color w:val="000000" w:themeColor="text1"/>
          <w:sz w:val="28"/>
          <w:szCs w:val="28"/>
        </w:rPr>
        <w:t>’</w:t>
      </w:r>
      <w:r w:rsidRPr="007418EB">
        <w:rPr>
          <w:rFonts w:ascii="Times New Roman" w:hAnsi="Times New Roman" w:cs="Times New Roman"/>
          <w:b/>
          <w:color w:val="000000" w:themeColor="text1"/>
          <w:sz w:val="28"/>
          <w:szCs w:val="28"/>
        </w:rPr>
        <w:t>S THESIS</w:t>
      </w:r>
    </w:p>
    <w:p w:rsidR="003F4755" w:rsidRPr="007418EB" w:rsidRDefault="003F4755" w:rsidP="003F4755">
      <w:pPr>
        <w:spacing w:after="120" w:line="340" w:lineRule="exact"/>
        <w:jc w:val="center"/>
        <w:rPr>
          <w:rFonts w:ascii="Times New Roman" w:hAnsi="Times New Roman" w:cs="Times New Roman"/>
          <w:color w:val="000000" w:themeColor="text1"/>
          <w:sz w:val="28"/>
          <w:szCs w:val="28"/>
        </w:rPr>
      </w:pPr>
    </w:p>
    <w:p w:rsidR="003F4755" w:rsidRPr="007418EB" w:rsidRDefault="00306778" w:rsidP="003F4755">
      <w:pPr>
        <w:spacing w:after="120" w:line="340" w:lineRule="exact"/>
        <w:jc w:val="center"/>
        <w:rPr>
          <w:rFonts w:ascii="Times New Roman" w:hAnsi="Times New Roman" w:cs="Times New Roman"/>
          <w:color w:val="000000" w:themeColor="text1"/>
          <w:sz w:val="26"/>
          <w:szCs w:val="26"/>
        </w:rPr>
      </w:pPr>
      <w:r w:rsidRPr="007418EB">
        <w:rPr>
          <w:rFonts w:ascii="Times New Roman" w:hAnsi="Times New Roman" w:cs="Times New Roman"/>
          <w:color w:val="000000" w:themeColor="text1"/>
          <w:sz w:val="26"/>
          <w:szCs w:val="26"/>
        </w:rPr>
        <w:t>Ho Chi Minh City -</w:t>
      </w:r>
      <w:r w:rsidR="003F4755" w:rsidRPr="007418EB">
        <w:rPr>
          <w:rFonts w:ascii="Times New Roman" w:hAnsi="Times New Roman" w:cs="Times New Roman"/>
          <w:color w:val="000000" w:themeColor="text1"/>
          <w:sz w:val="26"/>
          <w:szCs w:val="26"/>
        </w:rPr>
        <w:t xml:space="preserve"> 20</w:t>
      </w:r>
      <w:r w:rsidR="00E37C5B">
        <w:rPr>
          <w:rFonts w:ascii="Times New Roman" w:hAnsi="Times New Roman" w:cs="Times New Roman"/>
          <w:color w:val="000000" w:themeColor="text1"/>
          <w:sz w:val="26"/>
          <w:szCs w:val="26"/>
        </w:rPr>
        <w:t>21</w:t>
      </w:r>
    </w:p>
    <w:p w:rsidR="003F4755" w:rsidRPr="007418EB" w:rsidRDefault="003F4755" w:rsidP="003F4755">
      <w:pPr>
        <w:pStyle w:val="text"/>
        <w:spacing w:before="120" w:line="340" w:lineRule="exact"/>
        <w:ind w:left="432" w:firstLine="0"/>
        <w:jc w:val="left"/>
        <w:rPr>
          <w:rFonts w:ascii="Times New Roman" w:hAnsi="Times New Roman"/>
          <w:color w:val="000000" w:themeColor="text1"/>
          <w:szCs w:val="22"/>
        </w:rPr>
      </w:pPr>
    </w:p>
    <w:p w:rsidR="003F4755" w:rsidRPr="007418EB" w:rsidRDefault="00306778" w:rsidP="003F4755">
      <w:pPr>
        <w:pStyle w:val="text"/>
        <w:spacing w:before="120" w:line="340" w:lineRule="exact"/>
        <w:ind w:left="432" w:firstLine="0"/>
        <w:jc w:val="left"/>
        <w:rPr>
          <w:rFonts w:ascii="Times New Roman" w:hAnsi="Times New Roman"/>
          <w:color w:val="000000" w:themeColor="text1"/>
          <w:szCs w:val="22"/>
        </w:rPr>
      </w:pPr>
      <w:r w:rsidRPr="007418EB">
        <w:rPr>
          <w:rFonts w:ascii="Times New Roman" w:hAnsi="Times New Roman"/>
          <w:color w:val="000000" w:themeColor="text1"/>
          <w:szCs w:val="22"/>
        </w:rPr>
        <w:lastRenderedPageBreak/>
        <w:t>The project is completed at</w:t>
      </w:r>
      <w:r w:rsidR="003F4755" w:rsidRPr="007418EB">
        <w:rPr>
          <w:rFonts w:ascii="Times New Roman" w:hAnsi="Times New Roman"/>
          <w:color w:val="000000" w:themeColor="text1"/>
          <w:szCs w:val="22"/>
        </w:rPr>
        <w:t xml:space="preserve">: </w:t>
      </w:r>
    </w:p>
    <w:p w:rsidR="003F4755" w:rsidRPr="007418EB" w:rsidRDefault="00306778" w:rsidP="003F4755">
      <w:pPr>
        <w:pStyle w:val="text"/>
        <w:spacing w:before="120" w:line="340" w:lineRule="exact"/>
        <w:ind w:left="432" w:firstLine="0"/>
        <w:jc w:val="center"/>
        <w:rPr>
          <w:rFonts w:ascii="Times New Roman" w:hAnsi="Times New Roman"/>
          <w:b/>
          <w:color w:val="000000" w:themeColor="text1"/>
          <w:szCs w:val="22"/>
        </w:rPr>
      </w:pPr>
      <w:r w:rsidRPr="007418EB">
        <w:rPr>
          <w:rFonts w:ascii="Times New Roman" w:hAnsi="Times New Roman"/>
          <w:b/>
          <w:color w:val="000000" w:themeColor="text1"/>
          <w:szCs w:val="22"/>
        </w:rPr>
        <w:t>University of Economics Ho Chi Minh City</w:t>
      </w:r>
    </w:p>
    <w:p w:rsidR="003F4755" w:rsidRPr="007418EB" w:rsidRDefault="00306778" w:rsidP="003F4755">
      <w:pPr>
        <w:pStyle w:val="text"/>
        <w:tabs>
          <w:tab w:val="right" w:leader="dot" w:pos="5245"/>
        </w:tabs>
        <w:spacing w:line="340" w:lineRule="exact"/>
        <w:ind w:left="432" w:firstLine="0"/>
        <w:jc w:val="left"/>
        <w:rPr>
          <w:rFonts w:ascii="Times New Roman" w:hAnsi="Times New Roman"/>
          <w:color w:val="000000" w:themeColor="text1"/>
          <w:szCs w:val="22"/>
        </w:rPr>
      </w:pPr>
      <w:r w:rsidRPr="007418EB">
        <w:rPr>
          <w:rFonts w:ascii="Times New Roman" w:hAnsi="Times New Roman"/>
          <w:color w:val="000000" w:themeColor="text1"/>
          <w:szCs w:val="22"/>
        </w:rPr>
        <w:t>Supervisors</w:t>
      </w:r>
      <w:r w:rsidR="003F4755" w:rsidRPr="007418EB">
        <w:rPr>
          <w:rFonts w:ascii="Times New Roman" w:hAnsi="Times New Roman"/>
          <w:color w:val="000000" w:themeColor="text1"/>
          <w:szCs w:val="22"/>
        </w:rPr>
        <w:t>:</w:t>
      </w:r>
    </w:p>
    <w:p w:rsidR="003F4755" w:rsidRPr="007418EB" w:rsidRDefault="00DD14F0" w:rsidP="00DD14F0">
      <w:pPr>
        <w:pStyle w:val="text"/>
        <w:tabs>
          <w:tab w:val="right" w:leader="dot" w:pos="5670"/>
        </w:tabs>
        <w:spacing w:line="340" w:lineRule="exact"/>
        <w:ind w:left="432" w:firstLine="0"/>
        <w:jc w:val="center"/>
        <w:rPr>
          <w:rFonts w:ascii="Times New Roman" w:hAnsi="Times New Roman"/>
          <w:color w:val="000000" w:themeColor="text1"/>
          <w:szCs w:val="22"/>
        </w:rPr>
      </w:pPr>
      <w:r w:rsidRPr="000B3A8F">
        <w:rPr>
          <w:rFonts w:ascii="Times New Roman" w:hAnsi="Times New Roman"/>
          <w:b/>
          <w:szCs w:val="22"/>
          <w:shd w:val="clear" w:color="auto" w:fill="FFFFFF"/>
        </w:rPr>
        <w:t>Assoc. Prof. Nguyen Thi Ngoc Trang</w:t>
      </w:r>
    </w:p>
    <w:p w:rsidR="00C57929" w:rsidRPr="007418EB" w:rsidRDefault="00C57929" w:rsidP="003F4755">
      <w:pPr>
        <w:pStyle w:val="text"/>
        <w:tabs>
          <w:tab w:val="right" w:leader="dot" w:pos="5670"/>
        </w:tabs>
        <w:spacing w:line="340" w:lineRule="exact"/>
        <w:ind w:left="432" w:firstLine="0"/>
        <w:jc w:val="left"/>
        <w:rPr>
          <w:rFonts w:ascii="Times New Roman" w:hAnsi="Times New Roman"/>
          <w:color w:val="000000" w:themeColor="text1"/>
          <w:szCs w:val="22"/>
        </w:rPr>
      </w:pPr>
    </w:p>
    <w:p w:rsidR="003F4755" w:rsidRPr="007418EB" w:rsidRDefault="0026188E" w:rsidP="003F4755">
      <w:pPr>
        <w:pStyle w:val="text"/>
        <w:tabs>
          <w:tab w:val="right" w:leader="dot" w:pos="5670"/>
        </w:tabs>
        <w:spacing w:line="340" w:lineRule="exact"/>
        <w:ind w:left="432" w:firstLine="0"/>
        <w:jc w:val="left"/>
        <w:rPr>
          <w:rFonts w:ascii="Times New Roman" w:hAnsi="Times New Roman"/>
          <w:color w:val="000000" w:themeColor="text1"/>
          <w:szCs w:val="22"/>
        </w:rPr>
      </w:pPr>
      <w:r w:rsidRPr="007418EB">
        <w:rPr>
          <w:rFonts w:ascii="Times New Roman" w:hAnsi="Times New Roman"/>
          <w:color w:val="000000" w:themeColor="text1"/>
          <w:szCs w:val="22"/>
        </w:rPr>
        <w:t>Reviewer</w:t>
      </w:r>
      <w:r w:rsidR="00AE27D0" w:rsidRPr="007418EB">
        <w:rPr>
          <w:rFonts w:ascii="Times New Roman" w:hAnsi="Times New Roman"/>
          <w:color w:val="000000" w:themeColor="text1"/>
          <w:szCs w:val="22"/>
        </w:rPr>
        <w:t xml:space="preserve"> 1</w:t>
      </w:r>
      <w:r w:rsidR="003F4755" w:rsidRPr="007418EB">
        <w:rPr>
          <w:rFonts w:ascii="Times New Roman" w:hAnsi="Times New Roman"/>
          <w:color w:val="000000" w:themeColor="text1"/>
          <w:szCs w:val="22"/>
        </w:rPr>
        <w:t>:</w:t>
      </w:r>
      <w:r w:rsidR="003F4755" w:rsidRPr="007418EB">
        <w:rPr>
          <w:rFonts w:ascii="Times New Roman" w:hAnsi="Times New Roman"/>
          <w:color w:val="000000" w:themeColor="text1"/>
          <w:szCs w:val="22"/>
        </w:rPr>
        <w:tab/>
      </w:r>
    </w:p>
    <w:p w:rsidR="003F4755" w:rsidRPr="007418EB" w:rsidRDefault="003F4755" w:rsidP="003F4755">
      <w:pPr>
        <w:pStyle w:val="text"/>
        <w:tabs>
          <w:tab w:val="right" w:leader="dot" w:pos="5670"/>
        </w:tabs>
        <w:spacing w:line="340" w:lineRule="exact"/>
        <w:ind w:left="432" w:firstLine="0"/>
        <w:jc w:val="left"/>
        <w:rPr>
          <w:rFonts w:ascii="Times New Roman" w:hAnsi="Times New Roman"/>
          <w:color w:val="000000" w:themeColor="text1"/>
          <w:szCs w:val="22"/>
        </w:rPr>
      </w:pPr>
      <w:r w:rsidRPr="007418EB">
        <w:rPr>
          <w:rFonts w:ascii="Times New Roman" w:hAnsi="Times New Roman"/>
          <w:color w:val="000000" w:themeColor="text1"/>
          <w:szCs w:val="22"/>
        </w:rPr>
        <w:tab/>
      </w:r>
    </w:p>
    <w:p w:rsidR="003F4755" w:rsidRPr="007418EB" w:rsidRDefault="0026188E" w:rsidP="003F4755">
      <w:pPr>
        <w:pStyle w:val="text"/>
        <w:tabs>
          <w:tab w:val="right" w:leader="dot" w:pos="5670"/>
        </w:tabs>
        <w:spacing w:line="340" w:lineRule="exact"/>
        <w:ind w:left="432" w:firstLine="0"/>
        <w:jc w:val="left"/>
        <w:rPr>
          <w:rFonts w:ascii="Times New Roman" w:hAnsi="Times New Roman"/>
          <w:color w:val="000000" w:themeColor="text1"/>
          <w:szCs w:val="22"/>
        </w:rPr>
      </w:pPr>
      <w:r w:rsidRPr="007418EB">
        <w:rPr>
          <w:rFonts w:ascii="Times New Roman" w:hAnsi="Times New Roman"/>
          <w:color w:val="000000" w:themeColor="text1"/>
          <w:szCs w:val="22"/>
        </w:rPr>
        <w:t xml:space="preserve">Reviewer </w:t>
      </w:r>
      <w:r w:rsidR="00AE27D0" w:rsidRPr="007418EB">
        <w:rPr>
          <w:rFonts w:ascii="Times New Roman" w:hAnsi="Times New Roman"/>
          <w:color w:val="000000" w:themeColor="text1"/>
          <w:szCs w:val="22"/>
        </w:rPr>
        <w:t>2</w:t>
      </w:r>
      <w:r w:rsidR="003F4755" w:rsidRPr="007418EB">
        <w:rPr>
          <w:rFonts w:ascii="Times New Roman" w:hAnsi="Times New Roman"/>
          <w:color w:val="000000" w:themeColor="text1"/>
          <w:szCs w:val="22"/>
        </w:rPr>
        <w:t>:</w:t>
      </w:r>
      <w:r w:rsidR="003F4755" w:rsidRPr="007418EB">
        <w:rPr>
          <w:rFonts w:ascii="Times New Roman" w:hAnsi="Times New Roman"/>
          <w:color w:val="000000" w:themeColor="text1"/>
          <w:szCs w:val="22"/>
        </w:rPr>
        <w:tab/>
      </w:r>
    </w:p>
    <w:p w:rsidR="003F4755" w:rsidRPr="007418EB" w:rsidRDefault="003F4755" w:rsidP="003F4755">
      <w:pPr>
        <w:pStyle w:val="text"/>
        <w:tabs>
          <w:tab w:val="right" w:leader="dot" w:pos="5670"/>
        </w:tabs>
        <w:spacing w:line="340" w:lineRule="exact"/>
        <w:ind w:left="432" w:firstLine="0"/>
        <w:jc w:val="left"/>
        <w:rPr>
          <w:rFonts w:ascii="Times New Roman" w:hAnsi="Times New Roman"/>
          <w:color w:val="000000" w:themeColor="text1"/>
          <w:szCs w:val="22"/>
        </w:rPr>
      </w:pPr>
      <w:r w:rsidRPr="007418EB">
        <w:rPr>
          <w:rFonts w:ascii="Times New Roman" w:hAnsi="Times New Roman"/>
          <w:color w:val="000000" w:themeColor="text1"/>
          <w:szCs w:val="22"/>
        </w:rPr>
        <w:tab/>
      </w:r>
    </w:p>
    <w:p w:rsidR="003F4755" w:rsidRPr="007418EB" w:rsidRDefault="0026188E" w:rsidP="003F4755">
      <w:pPr>
        <w:pStyle w:val="text"/>
        <w:tabs>
          <w:tab w:val="right" w:leader="dot" w:pos="5670"/>
        </w:tabs>
        <w:spacing w:line="340" w:lineRule="exact"/>
        <w:ind w:left="432" w:firstLine="0"/>
        <w:jc w:val="left"/>
        <w:rPr>
          <w:rFonts w:ascii="Times New Roman" w:hAnsi="Times New Roman"/>
          <w:color w:val="000000" w:themeColor="text1"/>
          <w:szCs w:val="22"/>
        </w:rPr>
      </w:pPr>
      <w:r w:rsidRPr="007418EB">
        <w:rPr>
          <w:rFonts w:ascii="Times New Roman" w:hAnsi="Times New Roman"/>
          <w:color w:val="000000" w:themeColor="text1"/>
          <w:szCs w:val="22"/>
        </w:rPr>
        <w:t xml:space="preserve">Reviewer </w:t>
      </w:r>
      <w:r w:rsidR="003F4755" w:rsidRPr="007418EB">
        <w:rPr>
          <w:rFonts w:ascii="Times New Roman" w:hAnsi="Times New Roman"/>
          <w:color w:val="000000" w:themeColor="text1"/>
          <w:szCs w:val="22"/>
        </w:rPr>
        <w:t>3:</w:t>
      </w:r>
      <w:r w:rsidR="003F4755" w:rsidRPr="007418EB">
        <w:rPr>
          <w:rFonts w:ascii="Times New Roman" w:hAnsi="Times New Roman"/>
          <w:color w:val="000000" w:themeColor="text1"/>
          <w:szCs w:val="22"/>
        </w:rPr>
        <w:tab/>
      </w:r>
    </w:p>
    <w:p w:rsidR="003F4755" w:rsidRPr="007418EB" w:rsidRDefault="003F4755" w:rsidP="003F4755">
      <w:pPr>
        <w:pStyle w:val="text"/>
        <w:tabs>
          <w:tab w:val="right" w:leader="dot" w:pos="5670"/>
        </w:tabs>
        <w:spacing w:line="340" w:lineRule="exact"/>
        <w:ind w:left="432" w:firstLine="0"/>
        <w:jc w:val="left"/>
        <w:rPr>
          <w:rFonts w:ascii="Times New Roman" w:hAnsi="Times New Roman"/>
          <w:color w:val="000000" w:themeColor="text1"/>
          <w:szCs w:val="22"/>
        </w:rPr>
      </w:pPr>
      <w:r w:rsidRPr="007418EB">
        <w:rPr>
          <w:rFonts w:ascii="Times New Roman" w:hAnsi="Times New Roman"/>
          <w:color w:val="000000" w:themeColor="text1"/>
          <w:szCs w:val="22"/>
        </w:rPr>
        <w:tab/>
      </w:r>
    </w:p>
    <w:p w:rsidR="003F4755" w:rsidRPr="007418EB" w:rsidRDefault="0026188E" w:rsidP="0026188E">
      <w:pPr>
        <w:pStyle w:val="text"/>
        <w:tabs>
          <w:tab w:val="right" w:leader="dot" w:pos="2410"/>
        </w:tabs>
        <w:spacing w:line="340" w:lineRule="exact"/>
        <w:ind w:left="432" w:firstLine="0"/>
        <w:jc w:val="left"/>
        <w:rPr>
          <w:rFonts w:ascii="Times New Roman" w:hAnsi="Times New Roman"/>
          <w:color w:val="000000" w:themeColor="text1"/>
          <w:szCs w:val="22"/>
        </w:rPr>
      </w:pPr>
      <w:r w:rsidRPr="007418EB">
        <w:rPr>
          <w:rFonts w:ascii="Times New Roman" w:hAnsi="Times New Roman"/>
          <w:color w:val="000000" w:themeColor="text1"/>
          <w:szCs w:val="22"/>
        </w:rPr>
        <w:t>The thesis will be defended at the committee at the school level at: ………..time……....day ……. month……...year……</w:t>
      </w:r>
    </w:p>
    <w:p w:rsidR="003F4755" w:rsidRPr="007418EB" w:rsidRDefault="003F4755" w:rsidP="003F4755">
      <w:pPr>
        <w:pStyle w:val="text"/>
        <w:tabs>
          <w:tab w:val="right" w:leader="dot" w:pos="5670"/>
        </w:tabs>
        <w:spacing w:line="340" w:lineRule="exact"/>
        <w:ind w:left="432" w:firstLine="0"/>
        <w:jc w:val="left"/>
        <w:rPr>
          <w:rFonts w:ascii="Times New Roman" w:hAnsi="Times New Roman"/>
          <w:color w:val="000000" w:themeColor="text1"/>
          <w:szCs w:val="22"/>
        </w:rPr>
      </w:pPr>
    </w:p>
    <w:p w:rsidR="00F429CC" w:rsidRPr="007418EB" w:rsidRDefault="0026188E" w:rsidP="0026188E">
      <w:pPr>
        <w:pStyle w:val="text"/>
        <w:tabs>
          <w:tab w:val="right" w:leader="dot" w:pos="5670"/>
        </w:tabs>
        <w:spacing w:line="340" w:lineRule="exact"/>
        <w:ind w:left="432" w:firstLine="0"/>
        <w:jc w:val="left"/>
        <w:rPr>
          <w:rFonts w:ascii="Times New Roman" w:hAnsi="Times New Roman"/>
          <w:color w:val="000000" w:themeColor="text1"/>
          <w:szCs w:val="22"/>
        </w:rPr>
        <w:sectPr w:rsidR="00F429CC" w:rsidRPr="007418EB" w:rsidSect="003906EA">
          <w:pgSz w:w="8391" w:h="11907" w:code="11"/>
          <w:pgMar w:top="1134" w:right="1134" w:bottom="1134" w:left="1134" w:header="709" w:footer="709" w:gutter="0"/>
          <w:pgBorders w:display="firstPage">
            <w:top w:val="single" w:sz="4" w:space="1" w:color="auto"/>
            <w:left w:val="single" w:sz="4" w:space="4" w:color="auto"/>
            <w:bottom w:val="single" w:sz="4" w:space="1" w:color="auto"/>
            <w:right w:val="single" w:sz="4" w:space="4" w:color="auto"/>
          </w:pgBorders>
          <w:pgNumType w:start="1"/>
          <w:cols w:space="720"/>
          <w:docGrid w:linePitch="360"/>
        </w:sectPr>
      </w:pPr>
      <w:r w:rsidRPr="007418EB">
        <w:rPr>
          <w:rFonts w:ascii="Times New Roman" w:hAnsi="Times New Roman"/>
          <w:color w:val="000000" w:themeColor="text1"/>
          <w:szCs w:val="22"/>
        </w:rPr>
        <w:t>The thesis can be found at the library: University of Economics Ho Chi Minh City</w:t>
      </w:r>
    </w:p>
    <w:bookmarkEnd w:id="0"/>
    <w:bookmarkEnd w:id="1"/>
    <w:p w:rsidR="00CB1844" w:rsidRPr="007418EB" w:rsidRDefault="0005599A" w:rsidP="00CB1844">
      <w:pPr>
        <w:spacing w:after="0" w:line="340" w:lineRule="atLeast"/>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b/>
          <w:bCs/>
          <w:color w:val="000000" w:themeColor="text1"/>
          <w:lang w:val="en-US"/>
        </w:rPr>
        <w:lastRenderedPageBreak/>
        <w:t>CHAPTER 1. INTRODUCTION</w:t>
      </w:r>
    </w:p>
    <w:p w:rsidR="00CB1844" w:rsidRPr="007418EB" w:rsidRDefault="00CB1844" w:rsidP="00CB1844">
      <w:pPr>
        <w:spacing w:after="0" w:line="340" w:lineRule="atLeast"/>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b/>
          <w:bCs/>
          <w:color w:val="000000" w:themeColor="text1"/>
          <w:lang w:val="en-US"/>
        </w:rPr>
        <w:t>1.1 Reason for research</w:t>
      </w:r>
    </w:p>
    <w:p w:rsidR="00CB1844" w:rsidRPr="007418EB" w:rsidRDefault="007E5A17" w:rsidP="00CB1844">
      <w:pPr>
        <w:spacing w:after="0" w:line="340" w:lineRule="atLeast"/>
        <w:ind w:firstLine="425"/>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color w:val="000000" w:themeColor="text1"/>
          <w:lang w:val="en-US"/>
        </w:rPr>
        <w:t>Economic p</w:t>
      </w:r>
      <w:r w:rsidR="00CB1844" w:rsidRPr="007418EB">
        <w:rPr>
          <w:rFonts w:ascii="Times New Roman" w:eastAsia="Times New Roman" w:hAnsi="Times New Roman" w:cs="Times New Roman"/>
          <w:color w:val="000000" w:themeColor="text1"/>
          <w:lang w:val="en-US"/>
        </w:rPr>
        <w:t>olicy fluctuations at the world</w:t>
      </w:r>
      <w:r w:rsidR="00B1684C" w:rsidRPr="007418EB">
        <w:rPr>
          <w:rFonts w:ascii="Times New Roman" w:eastAsia="Times New Roman" w:hAnsi="Times New Roman" w:cs="Times New Roman"/>
          <w:color w:val="000000" w:themeColor="text1"/>
          <w:lang w:val="en-US"/>
        </w:rPr>
        <w:t>’</w:t>
      </w:r>
      <w:r w:rsidR="00CB1844" w:rsidRPr="007418EB">
        <w:rPr>
          <w:rFonts w:ascii="Times New Roman" w:eastAsia="Times New Roman" w:hAnsi="Times New Roman" w:cs="Times New Roman"/>
          <w:color w:val="000000" w:themeColor="text1"/>
          <w:lang w:val="en-US"/>
        </w:rPr>
        <w:t>s largest financial centers such as the quantitative easing policy used by the US, UK and the European region after the 2008 financial crisis caused a new cash flow. into emerging markets, leading to strong fluctuations in monetary value. On the other hand, Asian countries are placed under a managed floating exchange rate regime, whereby their central banks intervene in the foreign exchange market to influence the exchange rate in a positive way. Wit</w:t>
      </w:r>
      <w:r w:rsidRPr="007418EB">
        <w:rPr>
          <w:rFonts w:ascii="Times New Roman" w:eastAsia="Times New Roman" w:hAnsi="Times New Roman" w:cs="Times New Roman"/>
          <w:color w:val="000000" w:themeColor="text1"/>
          <w:lang w:val="en-US"/>
        </w:rPr>
        <w:t>h the intervention of the central b</w:t>
      </w:r>
      <w:r w:rsidR="00CB1844" w:rsidRPr="007418EB">
        <w:rPr>
          <w:rFonts w:ascii="Times New Roman" w:eastAsia="Times New Roman" w:hAnsi="Times New Roman" w:cs="Times New Roman"/>
          <w:color w:val="000000" w:themeColor="text1"/>
          <w:lang w:val="en-US"/>
        </w:rPr>
        <w:t xml:space="preserve">ank in the foreign exchange market, it can be said that the exchange rate risk is insignificant. However, by looking at </w:t>
      </w:r>
      <w:r w:rsidR="003A3C9A" w:rsidRPr="007418EB">
        <w:rPr>
          <w:rFonts w:ascii="Times New Roman" w:eastAsia="Times New Roman" w:hAnsi="Times New Roman" w:cs="Times New Roman"/>
          <w:color w:val="000000" w:themeColor="text1"/>
          <w:lang w:val="en-US"/>
        </w:rPr>
        <w:t>exchange rate exposure</w:t>
      </w:r>
      <w:r w:rsidR="00CB1844" w:rsidRPr="007418EB">
        <w:rPr>
          <w:rFonts w:ascii="Times New Roman" w:eastAsia="Times New Roman" w:hAnsi="Times New Roman" w:cs="Times New Roman"/>
          <w:color w:val="000000" w:themeColor="text1"/>
          <w:lang w:val="en-US"/>
        </w:rPr>
        <w:t xml:space="preserve"> through an empirical analysis of the impact of exchange rate risks on stock returns in Southeast Asian markets, </w:t>
      </w:r>
      <w:r w:rsidRPr="007418EB">
        <w:rPr>
          <w:rFonts w:ascii="Times New Roman" w:eastAsia="Times New Roman" w:hAnsi="Times New Roman" w:cs="Times New Roman"/>
          <w:color w:val="000000" w:themeColor="text1"/>
          <w:lang w:val="en-US"/>
        </w:rPr>
        <w:t>especially</w:t>
      </w:r>
      <w:r w:rsidR="00CB1844" w:rsidRPr="007418EB">
        <w:rPr>
          <w:rFonts w:ascii="Times New Roman" w:eastAsia="Times New Roman" w:hAnsi="Times New Roman" w:cs="Times New Roman"/>
          <w:color w:val="000000" w:themeColor="text1"/>
          <w:lang w:val="en-US"/>
        </w:rPr>
        <w:t xml:space="preserve"> in the period 2010-2017.</w:t>
      </w:r>
    </w:p>
    <w:p w:rsidR="00CB1844" w:rsidRPr="007418EB" w:rsidRDefault="00CB1844" w:rsidP="00CB1844">
      <w:pPr>
        <w:spacing w:after="0" w:line="340" w:lineRule="atLeast"/>
        <w:jc w:val="both"/>
        <w:rPr>
          <w:rFonts w:ascii="Times New Roman" w:eastAsia="Times New Roman" w:hAnsi="Times New Roman" w:cs="Times New Roman"/>
          <w:color w:val="000000" w:themeColor="text1"/>
          <w:sz w:val="27"/>
          <w:szCs w:val="27"/>
          <w:lang w:val="en-US"/>
        </w:rPr>
      </w:pPr>
      <w:bookmarkStart w:id="2" w:name="_Toc26691589"/>
      <w:r w:rsidRPr="007418EB">
        <w:rPr>
          <w:rFonts w:ascii="Times New Roman" w:eastAsia="Times New Roman" w:hAnsi="Times New Roman" w:cs="Times New Roman"/>
          <w:b/>
          <w:bCs/>
          <w:color w:val="000000" w:themeColor="text1"/>
          <w:lang w:val="en-US"/>
        </w:rPr>
        <w:t>1.2 </w:t>
      </w:r>
      <w:bookmarkStart w:id="3" w:name="_Toc23421658"/>
      <w:bookmarkEnd w:id="2"/>
      <w:r w:rsidRPr="007418EB">
        <w:rPr>
          <w:rFonts w:ascii="Times New Roman" w:eastAsia="Times New Roman" w:hAnsi="Times New Roman" w:cs="Times New Roman"/>
          <w:b/>
          <w:bCs/>
          <w:color w:val="000000" w:themeColor="text1"/>
          <w:lang w:val="en-US"/>
        </w:rPr>
        <w:t>Gaps in research, objectives and research questions</w:t>
      </w:r>
      <w:bookmarkEnd w:id="3"/>
    </w:p>
    <w:p w:rsidR="00CB1844" w:rsidRPr="007418EB" w:rsidRDefault="00CB1844"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color w:val="000000" w:themeColor="text1"/>
          <w:lang w:val="en-US"/>
        </w:rPr>
        <w:t xml:space="preserve">Studies combining market-level and company-level sensitivity are currently limited, especially in Southeast Asian markets including Vietnam, mainly focusing on </w:t>
      </w:r>
      <w:r w:rsidR="003A3C9A" w:rsidRPr="007418EB">
        <w:rPr>
          <w:rFonts w:ascii="Times New Roman" w:eastAsia="Times New Roman" w:hAnsi="Times New Roman" w:cs="Times New Roman"/>
          <w:color w:val="000000" w:themeColor="text1"/>
          <w:lang w:val="en-US"/>
        </w:rPr>
        <w:t>exchange rate exposure</w:t>
      </w:r>
      <w:r w:rsidRPr="007418EB">
        <w:rPr>
          <w:rFonts w:ascii="Times New Roman" w:eastAsia="Times New Roman" w:hAnsi="Times New Roman" w:cs="Times New Roman"/>
          <w:color w:val="000000" w:themeColor="text1"/>
          <w:lang w:val="en-US"/>
        </w:rPr>
        <w:t>. market level. Therefore, from the theoretical background and empirical r</w:t>
      </w:r>
      <w:r w:rsidR="00ED61BC" w:rsidRPr="007418EB">
        <w:rPr>
          <w:rFonts w:ascii="Times New Roman" w:eastAsia="Times New Roman" w:hAnsi="Times New Roman" w:cs="Times New Roman"/>
          <w:color w:val="000000" w:themeColor="text1"/>
          <w:lang w:val="en-US"/>
        </w:rPr>
        <w:t>esearch on e</w:t>
      </w:r>
      <w:r w:rsidR="004A70D6" w:rsidRPr="007418EB">
        <w:rPr>
          <w:rFonts w:ascii="Times New Roman" w:eastAsia="Times New Roman" w:hAnsi="Times New Roman" w:cs="Times New Roman"/>
          <w:color w:val="000000" w:themeColor="text1"/>
          <w:lang w:val="en-US"/>
        </w:rPr>
        <w:t>xchange rate exposure</w:t>
      </w:r>
      <w:r w:rsidRPr="007418EB">
        <w:rPr>
          <w:rFonts w:ascii="Times New Roman" w:eastAsia="Times New Roman" w:hAnsi="Times New Roman" w:cs="Times New Roman"/>
          <w:color w:val="000000" w:themeColor="text1"/>
          <w:lang w:val="en-US"/>
        </w:rPr>
        <w:t xml:space="preserve">, the thesis aims to evaluate the </w:t>
      </w:r>
      <w:r w:rsidR="003A3C9A" w:rsidRPr="007418EB">
        <w:rPr>
          <w:rFonts w:ascii="Times New Roman" w:eastAsia="Times New Roman" w:hAnsi="Times New Roman" w:cs="Times New Roman"/>
          <w:color w:val="000000" w:themeColor="text1"/>
          <w:lang w:val="en-US"/>
        </w:rPr>
        <w:t>exchange rate exposure</w:t>
      </w:r>
      <w:r w:rsidRPr="007418EB">
        <w:rPr>
          <w:rFonts w:ascii="Times New Roman" w:eastAsia="Times New Roman" w:hAnsi="Times New Roman" w:cs="Times New Roman"/>
          <w:color w:val="000000" w:themeColor="text1"/>
          <w:lang w:val="en-US"/>
        </w:rPr>
        <w:t xml:space="preserve"> in Vietnam and Southeast Asian markets for both market and company levels contribute to identifying the existence of asymmetric </w:t>
      </w:r>
      <w:r w:rsidR="003A3C9A" w:rsidRPr="007418EB">
        <w:rPr>
          <w:rFonts w:ascii="Times New Roman" w:eastAsia="Times New Roman" w:hAnsi="Times New Roman" w:cs="Times New Roman"/>
          <w:color w:val="000000" w:themeColor="text1"/>
          <w:lang w:val="en-US"/>
        </w:rPr>
        <w:t>exchange rate exposure</w:t>
      </w:r>
      <w:r w:rsidRPr="007418EB">
        <w:rPr>
          <w:rFonts w:ascii="Times New Roman" w:eastAsia="Times New Roman" w:hAnsi="Times New Roman" w:cs="Times New Roman"/>
          <w:color w:val="000000" w:themeColor="text1"/>
          <w:lang w:val="en-US"/>
        </w:rPr>
        <w:t xml:space="preserve"> as well as the financial variables affecting exchange rate </w:t>
      </w:r>
      <w:r w:rsidR="00B1684C" w:rsidRPr="007418EB">
        <w:rPr>
          <w:rFonts w:ascii="Times New Roman" w:eastAsia="Times New Roman" w:hAnsi="Times New Roman" w:cs="Times New Roman"/>
          <w:color w:val="000000" w:themeColor="text1"/>
          <w:lang w:val="en-US"/>
        </w:rPr>
        <w:t>exposure</w:t>
      </w:r>
      <w:r w:rsidR="00AE2A58">
        <w:rPr>
          <w:rFonts w:ascii="Times New Roman" w:eastAsia="Times New Roman" w:hAnsi="Times New Roman" w:cs="Times New Roman"/>
          <w:color w:val="000000" w:themeColor="text1"/>
          <w:lang w:val="en-US"/>
        </w:rPr>
        <w:t>.</w:t>
      </w:r>
    </w:p>
    <w:p w:rsidR="00CB1844" w:rsidRPr="007418EB" w:rsidRDefault="00CB1844"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color w:val="000000" w:themeColor="text1"/>
          <w:lang w:val="en-US"/>
        </w:rPr>
        <w:t>The thesis will focus on solving the following research questions:</w:t>
      </w:r>
    </w:p>
    <w:p w:rsidR="00CB1844" w:rsidRPr="007418EB" w:rsidRDefault="00CB1844" w:rsidP="00CB1844">
      <w:pPr>
        <w:spacing w:after="0" w:line="340" w:lineRule="atLeast"/>
        <w:ind w:firstLine="284"/>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color w:val="000000" w:themeColor="text1"/>
          <w:lang w:val="en-US"/>
        </w:rPr>
        <w:t>1. How does exchange rate fluctuations affect market-level stock yields in Southeast Asian countries?             </w:t>
      </w:r>
    </w:p>
    <w:p w:rsidR="00EC3725" w:rsidRPr="007418EB" w:rsidRDefault="00CB1844" w:rsidP="00CB1844">
      <w:pPr>
        <w:spacing w:after="0" w:line="340" w:lineRule="atLeast"/>
        <w:ind w:firstLine="284"/>
        <w:jc w:val="both"/>
        <w:rPr>
          <w:rFonts w:ascii="Times New Roman" w:eastAsia="Times New Roman" w:hAnsi="Times New Roman" w:cs="Times New Roman"/>
          <w:color w:val="000000" w:themeColor="text1"/>
          <w:lang w:val="en-US"/>
        </w:rPr>
      </w:pPr>
      <w:r w:rsidRPr="007418EB">
        <w:rPr>
          <w:rFonts w:ascii="Times New Roman" w:eastAsia="Times New Roman" w:hAnsi="Times New Roman" w:cs="Times New Roman"/>
          <w:color w:val="000000" w:themeColor="text1"/>
          <w:lang w:val="en-US"/>
        </w:rPr>
        <w:lastRenderedPageBreak/>
        <w:t xml:space="preserve">2. Is there a difference in the presence of market-level </w:t>
      </w:r>
      <w:r w:rsidR="003A3C9A" w:rsidRPr="007418EB">
        <w:rPr>
          <w:rFonts w:ascii="Times New Roman" w:eastAsia="Times New Roman" w:hAnsi="Times New Roman" w:cs="Times New Roman"/>
          <w:color w:val="000000" w:themeColor="text1"/>
          <w:lang w:val="en-US"/>
        </w:rPr>
        <w:t>exchange rate exposure</w:t>
      </w:r>
      <w:r w:rsidRPr="007418EB">
        <w:rPr>
          <w:rFonts w:ascii="Times New Roman" w:eastAsia="Times New Roman" w:hAnsi="Times New Roman" w:cs="Times New Roman"/>
          <w:color w:val="000000" w:themeColor="text1"/>
          <w:lang w:val="en-US"/>
        </w:rPr>
        <w:t xml:space="preserve"> when measured by real exchange rate</w:t>
      </w:r>
      <w:r w:rsidR="00EC3725" w:rsidRPr="007418EB">
        <w:rPr>
          <w:rFonts w:ascii="Times New Roman" w:eastAsia="Times New Roman" w:hAnsi="Times New Roman" w:cs="Times New Roman"/>
          <w:color w:val="000000" w:themeColor="text1"/>
          <w:lang w:val="en-US"/>
        </w:rPr>
        <w:t xml:space="preserve"> fluctuations?</w:t>
      </w:r>
    </w:p>
    <w:p w:rsidR="00CB1844" w:rsidRPr="007418EB" w:rsidRDefault="00CB1844" w:rsidP="00CB1844">
      <w:pPr>
        <w:spacing w:after="0" w:line="340" w:lineRule="atLeast"/>
        <w:ind w:firstLine="284"/>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color w:val="000000" w:themeColor="text1"/>
          <w:lang w:val="en-US"/>
        </w:rPr>
        <w:t xml:space="preserve">3. Is the market-level </w:t>
      </w:r>
      <w:r w:rsidR="003A3C9A" w:rsidRPr="007418EB">
        <w:rPr>
          <w:rFonts w:ascii="Times New Roman" w:eastAsia="Times New Roman" w:hAnsi="Times New Roman" w:cs="Times New Roman"/>
          <w:color w:val="000000" w:themeColor="text1"/>
          <w:lang w:val="en-US"/>
        </w:rPr>
        <w:t>exchange rate exposure</w:t>
      </w:r>
      <w:r w:rsidRPr="007418EB">
        <w:rPr>
          <w:rFonts w:ascii="Times New Roman" w:eastAsia="Times New Roman" w:hAnsi="Times New Roman" w:cs="Times New Roman"/>
          <w:color w:val="000000" w:themeColor="text1"/>
          <w:lang w:val="en-US"/>
        </w:rPr>
        <w:t xml:space="preserve"> asymmetric?             </w:t>
      </w:r>
    </w:p>
    <w:p w:rsidR="00CB1844" w:rsidRPr="007418EB" w:rsidRDefault="00CB1844" w:rsidP="00CB1844">
      <w:pPr>
        <w:spacing w:after="0" w:line="340" w:lineRule="atLeast"/>
        <w:ind w:firstLine="284"/>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color w:val="000000" w:themeColor="text1"/>
          <w:lang w:val="en-US"/>
        </w:rPr>
        <w:t xml:space="preserve">4. Does </w:t>
      </w:r>
      <w:r w:rsidR="003A3C9A" w:rsidRPr="007418EB">
        <w:rPr>
          <w:rFonts w:ascii="Times New Roman" w:eastAsia="Times New Roman" w:hAnsi="Times New Roman" w:cs="Times New Roman"/>
          <w:color w:val="000000" w:themeColor="text1"/>
          <w:lang w:val="en-US"/>
        </w:rPr>
        <w:t>exchange rate exposure</w:t>
      </w:r>
      <w:r w:rsidRPr="007418EB">
        <w:rPr>
          <w:rFonts w:ascii="Times New Roman" w:eastAsia="Times New Roman" w:hAnsi="Times New Roman" w:cs="Times New Roman"/>
          <w:color w:val="000000" w:themeColor="text1"/>
          <w:lang w:val="en-US"/>
        </w:rPr>
        <w:t xml:space="preserve"> exist or does exchange rate risk contribute to the explanation for fluctuations in stock return rates at firm level?             </w:t>
      </w:r>
    </w:p>
    <w:p w:rsidR="00EC3725" w:rsidRPr="007418EB" w:rsidRDefault="00CB1844" w:rsidP="00CB1844">
      <w:pPr>
        <w:spacing w:after="0" w:line="340" w:lineRule="atLeast"/>
        <w:ind w:firstLine="284"/>
        <w:jc w:val="both"/>
        <w:rPr>
          <w:rFonts w:ascii="Times New Roman" w:eastAsia="Times New Roman" w:hAnsi="Times New Roman" w:cs="Times New Roman"/>
          <w:color w:val="000000" w:themeColor="text1"/>
          <w:lang w:val="en-US"/>
        </w:rPr>
      </w:pPr>
      <w:r w:rsidRPr="007418EB">
        <w:rPr>
          <w:rFonts w:ascii="Times New Roman" w:eastAsia="Times New Roman" w:hAnsi="Times New Roman" w:cs="Times New Roman"/>
          <w:color w:val="000000" w:themeColor="text1"/>
          <w:lang w:val="en-US"/>
        </w:rPr>
        <w:t xml:space="preserve">5. Are company-level </w:t>
      </w:r>
      <w:r w:rsidR="003A3C9A" w:rsidRPr="007418EB">
        <w:rPr>
          <w:rFonts w:ascii="Times New Roman" w:eastAsia="Times New Roman" w:hAnsi="Times New Roman" w:cs="Times New Roman"/>
          <w:color w:val="000000" w:themeColor="text1"/>
          <w:lang w:val="en-US"/>
        </w:rPr>
        <w:t>exchange rate exposure</w:t>
      </w:r>
      <w:r w:rsidR="00EC3725" w:rsidRPr="007418EB">
        <w:rPr>
          <w:rFonts w:ascii="Times New Roman" w:eastAsia="Times New Roman" w:hAnsi="Times New Roman" w:cs="Times New Roman"/>
          <w:color w:val="000000" w:themeColor="text1"/>
          <w:lang w:val="en-US"/>
        </w:rPr>
        <w:t xml:space="preserve"> asymmetric? </w:t>
      </w:r>
    </w:p>
    <w:p w:rsidR="00CB1ACC" w:rsidRPr="007418EB" w:rsidRDefault="00CB1844" w:rsidP="00CB1844">
      <w:pPr>
        <w:spacing w:after="0" w:line="340" w:lineRule="atLeast"/>
        <w:ind w:firstLine="284"/>
        <w:jc w:val="both"/>
        <w:rPr>
          <w:rFonts w:ascii="Times New Roman" w:eastAsia="Times New Roman" w:hAnsi="Times New Roman" w:cs="Times New Roman"/>
          <w:color w:val="000000" w:themeColor="text1"/>
          <w:lang w:val="en-US"/>
        </w:rPr>
      </w:pPr>
      <w:r w:rsidRPr="007418EB">
        <w:rPr>
          <w:rFonts w:ascii="Times New Roman" w:eastAsia="Times New Roman" w:hAnsi="Times New Roman" w:cs="Times New Roman"/>
          <w:color w:val="000000" w:themeColor="text1"/>
          <w:lang w:val="en-US"/>
        </w:rPr>
        <w:t xml:space="preserve">6. What factors influence </w:t>
      </w:r>
      <w:r w:rsidR="003A3C9A" w:rsidRPr="007418EB">
        <w:rPr>
          <w:rFonts w:ascii="Times New Roman" w:eastAsia="Times New Roman" w:hAnsi="Times New Roman" w:cs="Times New Roman"/>
          <w:color w:val="000000" w:themeColor="text1"/>
          <w:lang w:val="en-US"/>
        </w:rPr>
        <w:t>exchange rate exposure</w:t>
      </w:r>
      <w:r w:rsidR="00CB1ACC" w:rsidRPr="007418EB">
        <w:rPr>
          <w:rFonts w:ascii="Times New Roman" w:eastAsia="Times New Roman" w:hAnsi="Times New Roman" w:cs="Times New Roman"/>
          <w:color w:val="000000" w:themeColor="text1"/>
          <w:lang w:val="en-US"/>
        </w:rPr>
        <w:t xml:space="preserve"> of businesses?</w:t>
      </w:r>
    </w:p>
    <w:p w:rsidR="00CB1844" w:rsidRPr="007418EB" w:rsidRDefault="00CB1844" w:rsidP="00CB1844">
      <w:pPr>
        <w:spacing w:after="0" w:line="340" w:lineRule="atLeast"/>
        <w:ind w:right="57"/>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b/>
          <w:bCs/>
          <w:color w:val="000000" w:themeColor="text1"/>
          <w:lang w:val="en-US"/>
        </w:rPr>
        <w:t>1 .3 Subject and scope of the study</w:t>
      </w:r>
    </w:p>
    <w:p w:rsidR="00CB1844" w:rsidRPr="007418EB" w:rsidRDefault="00CB1844" w:rsidP="00CB1844">
      <w:pPr>
        <w:spacing w:after="0" w:line="340" w:lineRule="atLeast"/>
        <w:ind w:right="57"/>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b/>
          <w:bCs/>
          <w:color w:val="000000" w:themeColor="text1"/>
          <w:lang w:val="en-US"/>
        </w:rPr>
        <w:t>1.3.1 Subject of research</w:t>
      </w:r>
    </w:p>
    <w:p w:rsidR="00CB1844" w:rsidRPr="007418EB" w:rsidRDefault="004A70D6" w:rsidP="00CB1844">
      <w:pPr>
        <w:spacing w:after="0" w:line="340" w:lineRule="atLeast"/>
        <w:ind w:right="57"/>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color w:val="000000" w:themeColor="text1"/>
          <w:lang w:val="en-US"/>
        </w:rPr>
        <w:t>Exchange rate exposure</w:t>
      </w:r>
      <w:r w:rsidR="00CB1844" w:rsidRPr="007418EB">
        <w:rPr>
          <w:rFonts w:ascii="Times New Roman" w:eastAsia="Times New Roman" w:hAnsi="Times New Roman" w:cs="Times New Roman"/>
          <w:color w:val="000000" w:themeColor="text1"/>
          <w:lang w:val="en-US"/>
        </w:rPr>
        <w:t xml:space="preserve"> at market level and the firm level in six </w:t>
      </w:r>
      <w:r w:rsidR="00D35FFF" w:rsidRPr="007418EB">
        <w:rPr>
          <w:rFonts w:ascii="Times New Roman" w:eastAsia="Times New Roman" w:hAnsi="Times New Roman" w:cs="Times New Roman"/>
          <w:color w:val="000000" w:themeColor="text1"/>
          <w:lang w:val="en-US"/>
        </w:rPr>
        <w:t xml:space="preserve">Southeast Asia </w:t>
      </w:r>
      <w:r w:rsidR="00CB1844" w:rsidRPr="007418EB">
        <w:rPr>
          <w:rFonts w:ascii="Times New Roman" w:eastAsia="Times New Roman" w:hAnsi="Times New Roman" w:cs="Times New Roman"/>
          <w:color w:val="000000" w:themeColor="text1"/>
          <w:lang w:val="en-US"/>
        </w:rPr>
        <w:t>countries namely Indonesia, Malaysia, Philippines, Singapore, Thailan</w:t>
      </w:r>
      <w:r w:rsidR="00D35FFF" w:rsidRPr="007418EB">
        <w:rPr>
          <w:rFonts w:ascii="Times New Roman" w:eastAsia="Times New Roman" w:hAnsi="Times New Roman" w:cs="Times New Roman"/>
          <w:color w:val="000000" w:themeColor="text1"/>
          <w:lang w:val="en-US"/>
        </w:rPr>
        <w:t>d and Vietnam</w:t>
      </w:r>
      <w:r w:rsidR="00CB1844" w:rsidRPr="007418EB">
        <w:rPr>
          <w:rFonts w:ascii="Times New Roman" w:eastAsia="Times New Roman" w:hAnsi="Times New Roman" w:cs="Times New Roman"/>
          <w:color w:val="000000" w:themeColor="text1"/>
          <w:lang w:val="en-US"/>
        </w:rPr>
        <w:t>.</w:t>
      </w:r>
    </w:p>
    <w:p w:rsidR="00CB1844" w:rsidRPr="007418EB" w:rsidRDefault="00CB1844" w:rsidP="00CB1844">
      <w:pPr>
        <w:spacing w:after="0" w:line="340" w:lineRule="atLeast"/>
        <w:ind w:right="57"/>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b/>
          <w:bCs/>
          <w:color w:val="000000" w:themeColor="text1"/>
          <w:lang w:val="en-US"/>
        </w:rPr>
        <w:t>1.3.2 Scope of the research</w:t>
      </w:r>
    </w:p>
    <w:p w:rsidR="00CB1844" w:rsidRPr="007418EB" w:rsidRDefault="00CB1844" w:rsidP="00CB1844">
      <w:pPr>
        <w:spacing w:after="0" w:line="340" w:lineRule="atLeast"/>
        <w:ind w:right="57"/>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color w:val="000000" w:themeColor="text1"/>
          <w:lang w:val="en-US"/>
        </w:rPr>
        <w:t xml:space="preserve">The </w:t>
      </w:r>
      <w:r w:rsidR="00DE2607" w:rsidRPr="007418EB">
        <w:rPr>
          <w:rFonts w:ascii="Times New Roman" w:eastAsia="Times New Roman" w:hAnsi="Times New Roman" w:cs="Times New Roman"/>
          <w:color w:val="000000" w:themeColor="text1"/>
          <w:lang w:val="en-US"/>
        </w:rPr>
        <w:t xml:space="preserve">research period of this study </w:t>
      </w:r>
      <w:r w:rsidRPr="007418EB">
        <w:rPr>
          <w:rFonts w:ascii="Times New Roman" w:eastAsia="Times New Roman" w:hAnsi="Times New Roman" w:cs="Times New Roman"/>
          <w:color w:val="000000" w:themeColor="text1"/>
          <w:lang w:val="en-US"/>
        </w:rPr>
        <w:t>is from 2010 to 2017. The countries in the research sample are selected based on complete market data including six Southeast Asian countries and 2,166 listed companies. by GICS (Global Industry Classification Standard)</w:t>
      </w:r>
      <w:r w:rsidR="00DE2607" w:rsidRPr="007418EB">
        <w:rPr>
          <w:rFonts w:ascii="Times New Roman" w:eastAsia="Times New Roman" w:hAnsi="Times New Roman" w:cs="Times New Roman"/>
          <w:color w:val="000000" w:themeColor="text1"/>
          <w:lang w:val="en-US"/>
        </w:rPr>
        <w:t>.</w:t>
      </w:r>
    </w:p>
    <w:p w:rsidR="00CB1844" w:rsidRDefault="00EC3725" w:rsidP="00CB1844">
      <w:pPr>
        <w:spacing w:after="0" w:line="340" w:lineRule="atLeast"/>
        <w:jc w:val="both"/>
        <w:rPr>
          <w:rFonts w:ascii="Times New Roman" w:eastAsia="Times New Roman" w:hAnsi="Times New Roman" w:cs="Times New Roman"/>
          <w:color w:val="000000" w:themeColor="text1"/>
          <w:lang w:val="en-US"/>
        </w:rPr>
      </w:pPr>
      <w:bookmarkStart w:id="4" w:name="_Toc26691594"/>
      <w:r w:rsidRPr="007418EB">
        <w:rPr>
          <w:rFonts w:ascii="Times New Roman" w:eastAsia="Times New Roman" w:hAnsi="Times New Roman" w:cs="Times New Roman"/>
          <w:b/>
          <w:bCs/>
          <w:color w:val="000000" w:themeColor="text1"/>
          <w:lang w:val="en-US"/>
        </w:rPr>
        <w:t xml:space="preserve">1. 4 Method </w:t>
      </w:r>
      <w:r w:rsidR="00CB1844" w:rsidRPr="007418EB">
        <w:rPr>
          <w:rFonts w:ascii="Times New Roman" w:eastAsia="Times New Roman" w:hAnsi="Times New Roman" w:cs="Times New Roman"/>
          <w:b/>
          <w:bCs/>
          <w:color w:val="000000" w:themeColor="text1"/>
          <w:lang w:val="en-US"/>
        </w:rPr>
        <w:t>of research</w:t>
      </w:r>
      <w:bookmarkEnd w:id="4"/>
      <w:r w:rsidR="00CB1844" w:rsidRPr="007418EB">
        <w:rPr>
          <w:rFonts w:ascii="Times New Roman" w:eastAsia="Times New Roman" w:hAnsi="Times New Roman" w:cs="Times New Roman"/>
          <w:b/>
          <w:bCs/>
          <w:color w:val="000000" w:themeColor="text1"/>
          <w:lang w:val="en-US"/>
        </w:rPr>
        <w:t>: </w:t>
      </w:r>
      <w:r w:rsidR="00CB1844" w:rsidRPr="007418EB">
        <w:rPr>
          <w:rFonts w:ascii="Times New Roman" w:eastAsia="Times New Roman" w:hAnsi="Times New Roman" w:cs="Times New Roman"/>
          <w:color w:val="000000" w:themeColor="text1"/>
          <w:lang w:val="en-US"/>
        </w:rPr>
        <w:t>At the market level, th</w:t>
      </w:r>
      <w:r w:rsidR="006268A8" w:rsidRPr="007418EB">
        <w:rPr>
          <w:rFonts w:ascii="Times New Roman" w:eastAsia="Times New Roman" w:hAnsi="Times New Roman" w:cs="Times New Roman"/>
          <w:color w:val="000000" w:themeColor="text1"/>
          <w:lang w:val="en-US"/>
        </w:rPr>
        <w:t>e study uses regression of panel</w:t>
      </w:r>
      <w:r w:rsidR="00CB1844" w:rsidRPr="007418EB">
        <w:rPr>
          <w:rFonts w:ascii="Times New Roman" w:eastAsia="Times New Roman" w:hAnsi="Times New Roman" w:cs="Times New Roman"/>
          <w:color w:val="000000" w:themeColor="text1"/>
          <w:lang w:val="en-US"/>
        </w:rPr>
        <w:t xml:space="preserve"> data by GLS method to </w:t>
      </w:r>
      <w:r w:rsidR="006268A8" w:rsidRPr="007418EB">
        <w:rPr>
          <w:rFonts w:ascii="Times New Roman" w:eastAsia="Times New Roman" w:hAnsi="Times New Roman" w:cs="Times New Roman"/>
          <w:color w:val="000000" w:themeColor="text1"/>
          <w:lang w:val="en-US"/>
        </w:rPr>
        <w:t>treat</w:t>
      </w:r>
      <w:r w:rsidR="00CB1844" w:rsidRPr="007418EB">
        <w:rPr>
          <w:rFonts w:ascii="Times New Roman" w:eastAsia="Times New Roman" w:hAnsi="Times New Roman" w:cs="Times New Roman"/>
          <w:color w:val="000000" w:themeColor="text1"/>
          <w:lang w:val="en-US"/>
        </w:rPr>
        <w:t xml:space="preserve"> </w:t>
      </w:r>
      <w:r w:rsidR="006268A8" w:rsidRPr="007418EB">
        <w:rPr>
          <w:rFonts w:ascii="Times New Roman" w:eastAsia="Times New Roman" w:hAnsi="Times New Roman" w:cs="Times New Roman"/>
          <w:color w:val="000000" w:themeColor="text1"/>
          <w:lang w:val="en-US"/>
        </w:rPr>
        <w:t>heterokesdaticity</w:t>
      </w:r>
      <w:r w:rsidR="00CB1844" w:rsidRPr="007418EB">
        <w:rPr>
          <w:rFonts w:ascii="Times New Roman" w:eastAsia="Times New Roman" w:hAnsi="Times New Roman" w:cs="Times New Roman"/>
          <w:color w:val="000000" w:themeColor="text1"/>
          <w:lang w:val="en-US"/>
        </w:rPr>
        <w:t xml:space="preserve"> and GMM is a method to test the </w:t>
      </w:r>
      <w:r w:rsidR="006268A8" w:rsidRPr="007418EB">
        <w:rPr>
          <w:rFonts w:ascii="Times New Roman" w:eastAsia="Times New Roman" w:hAnsi="Times New Roman" w:cs="Times New Roman"/>
          <w:color w:val="000000" w:themeColor="text1"/>
          <w:lang w:val="en-US"/>
        </w:rPr>
        <w:t>consistency</w:t>
      </w:r>
      <w:r w:rsidR="00CB1844" w:rsidRPr="007418EB">
        <w:rPr>
          <w:rFonts w:ascii="Times New Roman" w:eastAsia="Times New Roman" w:hAnsi="Times New Roman" w:cs="Times New Roman"/>
          <w:color w:val="000000" w:themeColor="text1"/>
          <w:lang w:val="en-US"/>
        </w:rPr>
        <w:t xml:space="preserve"> of the model. At the company level, the study uses the GARCH method to test for </w:t>
      </w:r>
      <w:r w:rsidR="003A3C9A" w:rsidRPr="007418EB">
        <w:rPr>
          <w:rFonts w:ascii="Times New Roman" w:eastAsia="Times New Roman" w:hAnsi="Times New Roman" w:cs="Times New Roman"/>
          <w:color w:val="000000" w:themeColor="text1"/>
          <w:lang w:val="en-US"/>
        </w:rPr>
        <w:t>exchange rate exposure</w:t>
      </w:r>
      <w:r w:rsidR="00CB1844" w:rsidRPr="007418EB">
        <w:rPr>
          <w:rFonts w:ascii="Times New Roman" w:eastAsia="Times New Roman" w:hAnsi="Times New Roman" w:cs="Times New Roman"/>
          <w:color w:val="000000" w:themeColor="text1"/>
          <w:lang w:val="en-US"/>
        </w:rPr>
        <w:t xml:space="preserve">, and </w:t>
      </w:r>
      <w:r w:rsidR="006268A8" w:rsidRPr="007418EB">
        <w:rPr>
          <w:rFonts w:ascii="Times New Roman" w:eastAsia="Times New Roman" w:hAnsi="Times New Roman" w:cs="Times New Roman"/>
          <w:color w:val="000000" w:themeColor="text1"/>
          <w:lang w:val="en-US"/>
        </w:rPr>
        <w:t>panel</w:t>
      </w:r>
      <w:r w:rsidR="00CB1844" w:rsidRPr="007418EB">
        <w:rPr>
          <w:rFonts w:ascii="Times New Roman" w:eastAsia="Times New Roman" w:hAnsi="Times New Roman" w:cs="Times New Roman"/>
          <w:color w:val="000000" w:themeColor="text1"/>
          <w:lang w:val="en-US"/>
        </w:rPr>
        <w:t xml:space="preserve"> data</w:t>
      </w:r>
      <w:r w:rsidR="006268A8" w:rsidRPr="007418EB">
        <w:rPr>
          <w:rFonts w:ascii="Times New Roman" w:eastAsia="Times New Roman" w:hAnsi="Times New Roman" w:cs="Times New Roman"/>
          <w:color w:val="000000" w:themeColor="text1"/>
          <w:lang w:val="en-US"/>
        </w:rPr>
        <w:t xml:space="preserve"> regressions</w:t>
      </w:r>
      <w:r w:rsidR="00CB1844" w:rsidRPr="007418EB">
        <w:rPr>
          <w:rFonts w:ascii="Times New Roman" w:eastAsia="Times New Roman" w:hAnsi="Times New Roman" w:cs="Times New Roman"/>
          <w:color w:val="000000" w:themeColor="text1"/>
          <w:lang w:val="en-US"/>
        </w:rPr>
        <w:t xml:space="preserve"> in combination with logistic regressions to identify factors that influence the presen</w:t>
      </w:r>
      <w:r w:rsidR="003A3C9A" w:rsidRPr="007418EB">
        <w:rPr>
          <w:rFonts w:ascii="Times New Roman" w:eastAsia="Times New Roman" w:hAnsi="Times New Roman" w:cs="Times New Roman"/>
          <w:color w:val="000000" w:themeColor="text1"/>
          <w:lang w:val="en-US"/>
        </w:rPr>
        <w:t>ce of exchange rate exposure</w:t>
      </w:r>
      <w:r w:rsidR="00CB1844" w:rsidRPr="007418EB">
        <w:rPr>
          <w:rFonts w:ascii="Times New Roman" w:eastAsia="Times New Roman" w:hAnsi="Times New Roman" w:cs="Times New Roman"/>
          <w:color w:val="000000" w:themeColor="text1"/>
          <w:lang w:val="en-US"/>
        </w:rPr>
        <w:t>.</w:t>
      </w:r>
    </w:p>
    <w:p w:rsidR="00CB1844" w:rsidRPr="007418EB" w:rsidRDefault="00CB1844" w:rsidP="00CB1844">
      <w:pPr>
        <w:spacing w:after="0" w:line="340" w:lineRule="atLeast"/>
        <w:jc w:val="both"/>
        <w:rPr>
          <w:rFonts w:ascii="Times New Roman" w:eastAsia="Times New Roman" w:hAnsi="Times New Roman" w:cs="Times New Roman"/>
          <w:color w:val="000000" w:themeColor="text1"/>
          <w:sz w:val="27"/>
          <w:szCs w:val="27"/>
          <w:lang w:val="en-US"/>
        </w:rPr>
      </w:pPr>
      <w:bookmarkStart w:id="5" w:name="_Toc26691595"/>
      <w:r w:rsidRPr="007418EB">
        <w:rPr>
          <w:rFonts w:ascii="Times New Roman" w:eastAsia="Times New Roman" w:hAnsi="Times New Roman" w:cs="Times New Roman"/>
          <w:b/>
          <w:bCs/>
          <w:color w:val="000000" w:themeColor="text1"/>
          <w:lang w:val="en-US"/>
        </w:rPr>
        <w:t>1. 5 </w:t>
      </w:r>
      <w:bookmarkStart w:id="6" w:name="_Toc518138484"/>
      <w:bookmarkStart w:id="7" w:name="_Toc23421661"/>
      <w:bookmarkEnd w:id="5"/>
      <w:bookmarkEnd w:id="6"/>
      <w:r w:rsidRPr="007418EB">
        <w:rPr>
          <w:rFonts w:ascii="Times New Roman" w:eastAsia="Times New Roman" w:hAnsi="Times New Roman" w:cs="Times New Roman"/>
          <w:b/>
          <w:bCs/>
          <w:color w:val="000000" w:themeColor="text1"/>
          <w:lang w:val="en-US"/>
        </w:rPr>
        <w:t>New results and contributions of the study</w:t>
      </w:r>
      <w:bookmarkEnd w:id="7"/>
    </w:p>
    <w:p w:rsidR="00CB1844" w:rsidRPr="007418EB" w:rsidRDefault="00CB1844"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color w:val="000000" w:themeColor="text1"/>
          <w:lang w:val="en-US"/>
        </w:rPr>
        <w:t xml:space="preserve">With the objective study of </w:t>
      </w:r>
      <w:r w:rsidR="001C0827">
        <w:rPr>
          <w:rFonts w:ascii="Times New Roman" w:eastAsia="Times New Roman" w:hAnsi="Times New Roman" w:cs="Times New Roman"/>
          <w:color w:val="000000" w:themeColor="text1"/>
          <w:lang w:val="en-US"/>
        </w:rPr>
        <w:t>e</w:t>
      </w:r>
      <w:r w:rsidR="001C0827" w:rsidRPr="007418EB">
        <w:rPr>
          <w:rFonts w:ascii="Times New Roman" w:eastAsia="Times New Roman" w:hAnsi="Times New Roman" w:cs="Times New Roman"/>
          <w:color w:val="000000" w:themeColor="text1"/>
          <w:lang w:val="en-US"/>
        </w:rPr>
        <w:t>xchange rate exposure</w:t>
      </w:r>
      <w:r w:rsidRPr="007418EB">
        <w:rPr>
          <w:rFonts w:ascii="Times New Roman" w:eastAsia="Times New Roman" w:hAnsi="Times New Roman" w:cs="Times New Roman"/>
          <w:color w:val="000000" w:themeColor="text1"/>
          <w:lang w:val="en-US"/>
        </w:rPr>
        <w:t xml:space="preserve"> at the level of the market, k utcome prove exists </w:t>
      </w:r>
      <w:r w:rsidR="001C0827">
        <w:rPr>
          <w:rFonts w:ascii="Times New Roman" w:eastAsia="Times New Roman" w:hAnsi="Times New Roman" w:cs="Times New Roman"/>
          <w:color w:val="000000" w:themeColor="text1"/>
          <w:lang w:val="en-US"/>
        </w:rPr>
        <w:t>e</w:t>
      </w:r>
      <w:r w:rsidR="001C0827" w:rsidRPr="007418EB">
        <w:rPr>
          <w:rFonts w:ascii="Times New Roman" w:eastAsia="Times New Roman" w:hAnsi="Times New Roman" w:cs="Times New Roman"/>
          <w:color w:val="000000" w:themeColor="text1"/>
          <w:lang w:val="en-US"/>
        </w:rPr>
        <w:t>xchange rate exposure</w:t>
      </w:r>
      <w:r w:rsidRPr="007418EB">
        <w:rPr>
          <w:rFonts w:ascii="Times New Roman" w:eastAsia="Times New Roman" w:hAnsi="Times New Roman" w:cs="Times New Roman"/>
          <w:color w:val="000000" w:themeColor="text1"/>
          <w:lang w:val="en-US"/>
        </w:rPr>
        <w:t xml:space="preserve"> in regional </w:t>
      </w:r>
      <w:r w:rsidRPr="007418EB">
        <w:rPr>
          <w:rFonts w:ascii="Times New Roman" w:eastAsia="Times New Roman" w:hAnsi="Times New Roman" w:cs="Times New Roman"/>
          <w:color w:val="000000" w:themeColor="text1"/>
          <w:lang w:val="en-US"/>
        </w:rPr>
        <w:lastRenderedPageBreak/>
        <w:t xml:space="preserve">countries studied, even in the group of countries under the exchange rate regime has control control. More specifically, the rate of return of domestic securities portfolios decreases as the value of the domestic currency depreciates against the US dollar. A notable point from the regression results is the appearance of asymmetric </w:t>
      </w:r>
      <w:r w:rsidR="003A3C9A" w:rsidRPr="007418EB">
        <w:rPr>
          <w:rFonts w:ascii="Times New Roman" w:eastAsia="Times New Roman" w:hAnsi="Times New Roman" w:cs="Times New Roman"/>
          <w:color w:val="000000" w:themeColor="text1"/>
          <w:lang w:val="en-US"/>
        </w:rPr>
        <w:t>exchange rate exposure</w:t>
      </w:r>
      <w:r w:rsidRPr="007418EB">
        <w:rPr>
          <w:rFonts w:ascii="Times New Roman" w:eastAsia="Times New Roman" w:hAnsi="Times New Roman" w:cs="Times New Roman"/>
          <w:color w:val="000000" w:themeColor="text1"/>
          <w:lang w:val="en-US"/>
        </w:rPr>
        <w:t>, as the net export position of Southeast Asian countries will be positively affected by the real depre</w:t>
      </w:r>
      <w:r w:rsidR="003A3C9A" w:rsidRPr="007418EB">
        <w:rPr>
          <w:rFonts w:ascii="Times New Roman" w:eastAsia="Times New Roman" w:hAnsi="Times New Roman" w:cs="Times New Roman"/>
          <w:color w:val="000000" w:themeColor="text1"/>
          <w:lang w:val="en-US"/>
        </w:rPr>
        <w:t>ciation of the local currency.</w:t>
      </w:r>
    </w:p>
    <w:p w:rsidR="00CB1844" w:rsidRPr="007418EB" w:rsidRDefault="00CB1844"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color w:val="000000" w:themeColor="text1"/>
          <w:lang w:val="en-US"/>
        </w:rPr>
        <w:t>Given the firm</w:t>
      </w:r>
      <w:r w:rsidR="00B1684C" w:rsidRPr="007418EB">
        <w:rPr>
          <w:rFonts w:ascii="Times New Roman" w:eastAsia="Times New Roman" w:hAnsi="Times New Roman" w:cs="Times New Roman"/>
          <w:color w:val="000000" w:themeColor="text1"/>
          <w:lang w:val="en-US"/>
        </w:rPr>
        <w:t>’</w:t>
      </w:r>
      <w:r w:rsidRPr="007418EB">
        <w:rPr>
          <w:rFonts w:ascii="Times New Roman" w:eastAsia="Times New Roman" w:hAnsi="Times New Roman" w:cs="Times New Roman"/>
          <w:color w:val="000000" w:themeColor="text1"/>
          <w:lang w:val="en-US"/>
        </w:rPr>
        <w:t xml:space="preserve">s level of </w:t>
      </w:r>
      <w:r w:rsidR="003A3C9A" w:rsidRPr="007418EB">
        <w:rPr>
          <w:rFonts w:ascii="Times New Roman" w:eastAsia="Times New Roman" w:hAnsi="Times New Roman" w:cs="Times New Roman"/>
          <w:color w:val="000000" w:themeColor="text1"/>
          <w:lang w:val="en-US"/>
        </w:rPr>
        <w:t>exchange rate exposure</w:t>
      </w:r>
      <w:r w:rsidRPr="007418EB">
        <w:rPr>
          <w:rFonts w:ascii="Times New Roman" w:eastAsia="Times New Roman" w:hAnsi="Times New Roman" w:cs="Times New Roman"/>
          <w:color w:val="000000" w:themeColor="text1"/>
          <w:lang w:val="en-US"/>
        </w:rPr>
        <w:t xml:space="preserve">, the results show that the presence of </w:t>
      </w:r>
      <w:r w:rsidR="003A3C9A" w:rsidRPr="007418EB">
        <w:rPr>
          <w:rFonts w:ascii="Times New Roman" w:eastAsia="Times New Roman" w:hAnsi="Times New Roman" w:cs="Times New Roman"/>
          <w:color w:val="000000" w:themeColor="text1"/>
          <w:lang w:val="en-US"/>
        </w:rPr>
        <w:t>exchange rate exposure</w:t>
      </w:r>
      <w:r w:rsidRPr="007418EB">
        <w:rPr>
          <w:rFonts w:ascii="Times New Roman" w:eastAsia="Times New Roman" w:hAnsi="Times New Roman" w:cs="Times New Roman"/>
          <w:color w:val="000000" w:themeColor="text1"/>
          <w:lang w:val="en-US"/>
        </w:rPr>
        <w:t xml:space="preserve"> is at an average of 30% of companies across the sample in 6 countries and the existence of </w:t>
      </w:r>
      <w:r w:rsidR="00B364EA">
        <w:rPr>
          <w:rFonts w:ascii="Times New Roman" w:eastAsia="Times New Roman" w:hAnsi="Times New Roman" w:cs="Times New Roman"/>
          <w:color w:val="000000" w:themeColor="text1"/>
          <w:lang w:val="en-US"/>
        </w:rPr>
        <w:t xml:space="preserve">exchange rate exposure </w:t>
      </w:r>
      <w:r w:rsidRPr="007418EB">
        <w:rPr>
          <w:rFonts w:ascii="Times New Roman" w:eastAsia="Times New Roman" w:hAnsi="Times New Roman" w:cs="Times New Roman"/>
          <w:color w:val="000000" w:themeColor="text1"/>
          <w:lang w:val="en-US"/>
        </w:rPr>
        <w:t>even when using long study periods or year-by-year sample</w:t>
      </w:r>
      <w:r w:rsidR="00AF3DBB" w:rsidRPr="007418EB">
        <w:rPr>
          <w:rFonts w:ascii="Times New Roman" w:eastAsia="Times New Roman" w:hAnsi="Times New Roman" w:cs="Times New Roman"/>
          <w:color w:val="000000" w:themeColor="text1"/>
          <w:lang w:val="en-US"/>
        </w:rPr>
        <w:t>.</w:t>
      </w:r>
      <w:r w:rsidRPr="007418EB">
        <w:rPr>
          <w:rFonts w:ascii="Times New Roman" w:eastAsia="Times New Roman" w:hAnsi="Times New Roman" w:cs="Times New Roman"/>
          <w:color w:val="000000" w:themeColor="text1"/>
          <w:lang w:val="en-US"/>
        </w:rPr>
        <w:t xml:space="preserve"> In addition, factors that account for the </w:t>
      </w:r>
      <w:r w:rsidR="00E33105">
        <w:rPr>
          <w:rFonts w:ascii="Times New Roman" w:eastAsia="Times New Roman" w:hAnsi="Times New Roman" w:cs="Times New Roman"/>
          <w:color w:val="000000" w:themeColor="text1"/>
          <w:lang w:val="en-US"/>
        </w:rPr>
        <w:t>existe</w:t>
      </w:r>
      <w:r w:rsidR="00B364EA">
        <w:rPr>
          <w:rFonts w:ascii="Times New Roman" w:eastAsia="Times New Roman" w:hAnsi="Times New Roman" w:cs="Times New Roman"/>
          <w:color w:val="000000" w:themeColor="text1"/>
          <w:lang w:val="en-US"/>
        </w:rPr>
        <w:t>nce</w:t>
      </w:r>
      <w:r w:rsidRPr="007418EB">
        <w:rPr>
          <w:rFonts w:ascii="Times New Roman" w:eastAsia="Times New Roman" w:hAnsi="Times New Roman" w:cs="Times New Roman"/>
          <w:color w:val="000000" w:themeColor="text1"/>
          <w:lang w:val="en-US"/>
        </w:rPr>
        <w:t xml:space="preserve"> of </w:t>
      </w:r>
      <w:r w:rsidR="003A3C9A" w:rsidRPr="007418EB">
        <w:rPr>
          <w:rFonts w:ascii="Times New Roman" w:eastAsia="Times New Roman" w:hAnsi="Times New Roman" w:cs="Times New Roman"/>
          <w:color w:val="000000" w:themeColor="text1"/>
          <w:lang w:val="en-US"/>
        </w:rPr>
        <w:t>exchange rate exposure</w:t>
      </w:r>
      <w:r w:rsidRPr="007418EB">
        <w:rPr>
          <w:rFonts w:ascii="Times New Roman" w:eastAsia="Times New Roman" w:hAnsi="Times New Roman" w:cs="Times New Roman"/>
          <w:color w:val="000000" w:themeColor="text1"/>
          <w:lang w:val="en-US"/>
        </w:rPr>
        <w:t xml:space="preserve"> of companies </w:t>
      </w:r>
      <w:r w:rsidR="00260F9C">
        <w:rPr>
          <w:rFonts w:ascii="Times New Roman" w:eastAsia="Times New Roman" w:hAnsi="Times New Roman" w:cs="Times New Roman"/>
          <w:color w:val="000000" w:themeColor="text1"/>
          <w:lang w:val="en-US"/>
        </w:rPr>
        <w:t>are</w:t>
      </w:r>
      <w:r w:rsidRPr="007418EB">
        <w:rPr>
          <w:rFonts w:ascii="Times New Roman" w:eastAsia="Times New Roman" w:hAnsi="Times New Roman" w:cs="Times New Roman"/>
          <w:color w:val="000000" w:themeColor="text1"/>
          <w:lang w:val="en-US"/>
        </w:rPr>
        <w:t xml:space="preserve"> international business positions (net exporters or net </w:t>
      </w:r>
      <w:r w:rsidR="00B364EA">
        <w:rPr>
          <w:rFonts w:ascii="Times New Roman" w:eastAsia="Times New Roman" w:hAnsi="Times New Roman" w:cs="Times New Roman"/>
          <w:color w:val="000000" w:themeColor="text1"/>
          <w:lang w:val="en-US"/>
        </w:rPr>
        <w:t>importers), as well as financial criterions</w:t>
      </w:r>
      <w:r w:rsidRPr="007418EB">
        <w:rPr>
          <w:rFonts w:ascii="Times New Roman" w:eastAsia="Times New Roman" w:hAnsi="Times New Roman" w:cs="Times New Roman"/>
          <w:color w:val="000000" w:themeColor="text1"/>
          <w:lang w:val="en-US"/>
        </w:rPr>
        <w:t xml:space="preserve"> of company market value, debt ratio, market price to b</w:t>
      </w:r>
      <w:r w:rsidR="00226F67">
        <w:rPr>
          <w:rFonts w:ascii="Times New Roman" w:eastAsia="Times New Roman" w:hAnsi="Times New Roman" w:cs="Times New Roman"/>
          <w:color w:val="000000" w:themeColor="text1"/>
          <w:lang w:val="en-US"/>
        </w:rPr>
        <w:t>ook value, stock liquidity and current ratio</w:t>
      </w:r>
      <w:r w:rsidRPr="007418EB">
        <w:rPr>
          <w:rFonts w:ascii="Times New Roman" w:eastAsia="Times New Roman" w:hAnsi="Times New Roman" w:cs="Times New Roman"/>
          <w:color w:val="000000" w:themeColor="text1"/>
          <w:lang w:val="en-US"/>
        </w:rPr>
        <w:t>.</w:t>
      </w:r>
    </w:p>
    <w:p w:rsidR="00CB1844" w:rsidRPr="007418EB" w:rsidRDefault="00CB1844"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color w:val="000000" w:themeColor="text1"/>
          <w:lang w:val="en-US"/>
        </w:rPr>
        <w:t xml:space="preserve">When compared with previous studies with the same </w:t>
      </w:r>
      <w:r w:rsidR="003A3C9A" w:rsidRPr="007418EB">
        <w:rPr>
          <w:rFonts w:ascii="Times New Roman" w:eastAsia="Times New Roman" w:hAnsi="Times New Roman" w:cs="Times New Roman"/>
          <w:color w:val="000000" w:themeColor="text1"/>
          <w:lang w:val="en-US"/>
        </w:rPr>
        <w:t>exchange rate exposure</w:t>
      </w:r>
      <w:r w:rsidRPr="007418EB">
        <w:rPr>
          <w:rFonts w:ascii="Times New Roman" w:eastAsia="Times New Roman" w:hAnsi="Times New Roman" w:cs="Times New Roman"/>
          <w:color w:val="000000" w:themeColor="text1"/>
          <w:lang w:val="en-US"/>
        </w:rPr>
        <w:t xml:space="preserve"> topic, the thesis has made new contributions as follows:</w:t>
      </w:r>
    </w:p>
    <w:p w:rsidR="00863587" w:rsidRDefault="006268A8" w:rsidP="00863587">
      <w:pPr>
        <w:pStyle w:val="ListParagraph"/>
        <w:numPr>
          <w:ilvl w:val="0"/>
          <w:numId w:val="13"/>
        </w:numPr>
        <w:spacing w:line="340" w:lineRule="atLeast"/>
        <w:ind w:left="0" w:firstLine="284"/>
        <w:jc w:val="both"/>
        <w:rPr>
          <w:color w:val="000000" w:themeColor="text1"/>
          <w:sz w:val="22"/>
        </w:rPr>
      </w:pPr>
      <w:r w:rsidRPr="007418EB">
        <w:rPr>
          <w:color w:val="000000" w:themeColor="text1"/>
          <w:sz w:val="22"/>
        </w:rPr>
        <w:t>Firstly,</w:t>
      </w:r>
      <w:r w:rsidR="00863587">
        <w:rPr>
          <w:color w:val="000000" w:themeColor="text1"/>
          <w:sz w:val="22"/>
        </w:rPr>
        <w:t xml:space="preserve"> provide</w:t>
      </w:r>
      <w:r w:rsidR="00863587" w:rsidRPr="00863587">
        <w:rPr>
          <w:color w:val="000000" w:themeColor="text1"/>
          <w:sz w:val="22"/>
        </w:rPr>
        <w:t xml:space="preserve"> a complete theoretical framework on the </w:t>
      </w:r>
      <w:r w:rsidR="00B22318" w:rsidRPr="007418EB">
        <w:rPr>
          <w:color w:val="000000" w:themeColor="text1"/>
          <w:sz w:val="22"/>
        </w:rPr>
        <w:t xml:space="preserve">exchange rate exposure </w:t>
      </w:r>
      <w:r w:rsidR="00863587" w:rsidRPr="00863587">
        <w:rPr>
          <w:color w:val="000000" w:themeColor="text1"/>
          <w:sz w:val="22"/>
        </w:rPr>
        <w:t xml:space="preserve">from theoretical foundations, exchange rate transmission channels to stock returns and theoretical models built to recognize the exchange rate </w:t>
      </w:r>
      <w:r w:rsidR="00195CFB" w:rsidRPr="007418EB">
        <w:rPr>
          <w:color w:val="000000" w:themeColor="text1"/>
          <w:sz w:val="22"/>
        </w:rPr>
        <w:t>exposure</w:t>
      </w:r>
      <w:r w:rsidR="00863587" w:rsidRPr="00863587">
        <w:rPr>
          <w:color w:val="000000" w:themeColor="text1"/>
          <w:sz w:val="22"/>
        </w:rPr>
        <w:t xml:space="preserve">, and at the same time identify development stages in the empirical research method on exchange rate </w:t>
      </w:r>
      <w:r w:rsidR="00195CFB" w:rsidRPr="007418EB">
        <w:rPr>
          <w:color w:val="000000" w:themeColor="text1"/>
          <w:sz w:val="22"/>
        </w:rPr>
        <w:t>exposure</w:t>
      </w:r>
      <w:r w:rsidR="00863587" w:rsidRPr="00863587">
        <w:rPr>
          <w:color w:val="000000" w:themeColor="text1"/>
          <w:sz w:val="22"/>
        </w:rPr>
        <w:t>, from background studies to improv</w:t>
      </w:r>
      <w:r w:rsidR="00195CFB">
        <w:rPr>
          <w:color w:val="000000" w:themeColor="text1"/>
          <w:sz w:val="22"/>
        </w:rPr>
        <w:t>ed studies in estimation method,</w:t>
      </w:r>
      <w:r w:rsidR="00863587" w:rsidRPr="00863587">
        <w:rPr>
          <w:color w:val="000000" w:themeColor="text1"/>
          <w:sz w:val="22"/>
        </w:rPr>
        <w:t xml:space="preserve"> and characterization of the exchange rate </w:t>
      </w:r>
      <w:r w:rsidR="00195CFB" w:rsidRPr="007418EB">
        <w:rPr>
          <w:color w:val="000000" w:themeColor="text1"/>
          <w:sz w:val="22"/>
        </w:rPr>
        <w:t>exposure</w:t>
      </w:r>
      <w:r w:rsidR="00863587" w:rsidRPr="00863587">
        <w:rPr>
          <w:color w:val="000000" w:themeColor="text1"/>
          <w:sz w:val="22"/>
        </w:rPr>
        <w:t>.</w:t>
      </w:r>
    </w:p>
    <w:p w:rsidR="006268A8" w:rsidRPr="007418EB" w:rsidRDefault="006268A8" w:rsidP="006268A8">
      <w:pPr>
        <w:pStyle w:val="ListParagraph"/>
        <w:numPr>
          <w:ilvl w:val="0"/>
          <w:numId w:val="13"/>
        </w:numPr>
        <w:spacing w:line="340" w:lineRule="atLeast"/>
        <w:ind w:left="0" w:firstLine="284"/>
        <w:jc w:val="both"/>
        <w:rPr>
          <w:color w:val="000000" w:themeColor="text1"/>
          <w:sz w:val="22"/>
        </w:rPr>
      </w:pPr>
      <w:r w:rsidRPr="007418EB">
        <w:rPr>
          <w:color w:val="000000" w:themeColor="text1"/>
          <w:sz w:val="22"/>
        </w:rPr>
        <w:t xml:space="preserve"> </w:t>
      </w:r>
      <w:r w:rsidR="00863587">
        <w:rPr>
          <w:color w:val="000000" w:themeColor="text1"/>
          <w:sz w:val="22"/>
        </w:rPr>
        <w:t xml:space="preserve">Secondly, </w:t>
      </w:r>
      <w:r w:rsidRPr="007418EB">
        <w:rPr>
          <w:color w:val="000000" w:themeColor="text1"/>
          <w:sz w:val="22"/>
        </w:rPr>
        <w:t xml:space="preserve">combine both approaches of analyzing exchange rate exposure at the market level and the firm level, the achieved results identify the existence of the impact of exchange rate risk on </w:t>
      </w:r>
      <w:r w:rsidRPr="007418EB">
        <w:rPr>
          <w:color w:val="000000" w:themeColor="text1"/>
          <w:sz w:val="22"/>
        </w:rPr>
        <w:lastRenderedPageBreak/>
        <w:t>stock returns, including countries with managed float exchange rate regime.</w:t>
      </w:r>
    </w:p>
    <w:p w:rsidR="006268A8" w:rsidRPr="007418EB" w:rsidRDefault="00863587" w:rsidP="006268A8">
      <w:pPr>
        <w:pStyle w:val="ListParagraph"/>
        <w:numPr>
          <w:ilvl w:val="0"/>
          <w:numId w:val="13"/>
        </w:numPr>
        <w:spacing w:line="340" w:lineRule="atLeast"/>
        <w:ind w:left="0" w:firstLine="284"/>
        <w:jc w:val="both"/>
        <w:rPr>
          <w:color w:val="000000" w:themeColor="text1"/>
          <w:sz w:val="22"/>
        </w:rPr>
      </w:pPr>
      <w:r>
        <w:rPr>
          <w:color w:val="000000" w:themeColor="text1"/>
          <w:sz w:val="22"/>
        </w:rPr>
        <w:t>Thir</w:t>
      </w:r>
      <w:r w:rsidR="006268A8" w:rsidRPr="007418EB">
        <w:rPr>
          <w:color w:val="000000" w:themeColor="text1"/>
          <w:sz w:val="22"/>
        </w:rPr>
        <w:t>dly, combine two methods to identify exchange rate exposure at the market level in Southeast Asian countries by using nominal and real exchange rates with panel data.</w:t>
      </w:r>
    </w:p>
    <w:p w:rsidR="006268A8" w:rsidRPr="007418EB" w:rsidRDefault="00863587" w:rsidP="006268A8">
      <w:pPr>
        <w:pStyle w:val="ListParagraph"/>
        <w:numPr>
          <w:ilvl w:val="0"/>
          <w:numId w:val="13"/>
        </w:numPr>
        <w:spacing w:line="340" w:lineRule="atLeast"/>
        <w:ind w:left="0" w:firstLine="284"/>
        <w:jc w:val="both"/>
        <w:rPr>
          <w:color w:val="000000" w:themeColor="text1"/>
          <w:sz w:val="22"/>
        </w:rPr>
      </w:pPr>
      <w:r>
        <w:rPr>
          <w:color w:val="000000" w:themeColor="text1"/>
          <w:sz w:val="22"/>
        </w:rPr>
        <w:t>Fourth</w:t>
      </w:r>
      <w:r w:rsidR="006268A8" w:rsidRPr="007418EB">
        <w:rPr>
          <w:color w:val="000000" w:themeColor="text1"/>
          <w:sz w:val="22"/>
        </w:rPr>
        <w:t>ly, assess exchange rate exposure at firm level and identifies the presence of asymmetric exchange rate exposure in listed companies in six Southeast Asian countries, especially the Vietnamese market.</w:t>
      </w:r>
    </w:p>
    <w:p w:rsidR="00CB1844" w:rsidRPr="007418EB" w:rsidRDefault="006268A8" w:rsidP="006268A8">
      <w:pPr>
        <w:pStyle w:val="ListParagraph"/>
        <w:numPr>
          <w:ilvl w:val="0"/>
          <w:numId w:val="13"/>
        </w:numPr>
        <w:spacing w:line="340" w:lineRule="atLeast"/>
        <w:ind w:left="0" w:firstLine="284"/>
        <w:jc w:val="both"/>
        <w:rPr>
          <w:color w:val="000000" w:themeColor="text1"/>
          <w:sz w:val="27"/>
          <w:szCs w:val="27"/>
        </w:rPr>
      </w:pPr>
      <w:r w:rsidRPr="007418EB">
        <w:rPr>
          <w:color w:val="000000" w:themeColor="text1"/>
          <w:sz w:val="22"/>
        </w:rPr>
        <w:t>Finally, determine the factors affecting the exchange rate exposure of the company in Southeast Asia by combining the analysis of theories of enterprise behavior with regression test of panel data.</w:t>
      </w:r>
      <w:r w:rsidR="00CB1844" w:rsidRPr="007418EB">
        <w:rPr>
          <w:color w:val="000000" w:themeColor="text1"/>
          <w:sz w:val="22"/>
        </w:rPr>
        <w:t>   </w:t>
      </w:r>
      <w:r w:rsidR="00CB1844" w:rsidRPr="007418EB">
        <w:rPr>
          <w:color w:val="000000" w:themeColor="text1"/>
        </w:rPr>
        <w:t>          </w:t>
      </w:r>
    </w:p>
    <w:p w:rsidR="00CB1844" w:rsidRPr="007418EB" w:rsidRDefault="003A3C9A" w:rsidP="00CB1844">
      <w:pPr>
        <w:spacing w:after="0" w:line="340" w:lineRule="atLeast"/>
        <w:jc w:val="both"/>
        <w:rPr>
          <w:rFonts w:ascii="Times New Roman" w:eastAsia="Times New Roman" w:hAnsi="Times New Roman" w:cs="Times New Roman"/>
          <w:color w:val="000000" w:themeColor="text1"/>
          <w:sz w:val="27"/>
          <w:szCs w:val="27"/>
          <w:lang w:val="en-US"/>
        </w:rPr>
      </w:pPr>
      <w:bookmarkStart w:id="8" w:name="_Toc26691597"/>
      <w:r w:rsidRPr="007418EB">
        <w:rPr>
          <w:rFonts w:ascii="Times New Roman" w:eastAsia="Times New Roman" w:hAnsi="Times New Roman" w:cs="Times New Roman"/>
          <w:b/>
          <w:bCs/>
          <w:color w:val="000000" w:themeColor="text1"/>
          <w:lang w:val="en-US"/>
        </w:rPr>
        <w:t>CHAPTER 2</w:t>
      </w:r>
      <w:r w:rsidR="00CB1844" w:rsidRPr="007418EB">
        <w:rPr>
          <w:rFonts w:ascii="Times New Roman" w:eastAsia="Times New Roman" w:hAnsi="Times New Roman" w:cs="Times New Roman"/>
          <w:b/>
          <w:bCs/>
          <w:color w:val="000000" w:themeColor="text1"/>
          <w:lang w:val="en-US"/>
        </w:rPr>
        <w:t>. </w:t>
      </w:r>
      <w:bookmarkEnd w:id="8"/>
      <w:r w:rsidR="00CB1844" w:rsidRPr="007418EB">
        <w:rPr>
          <w:rFonts w:ascii="Times New Roman" w:eastAsia="Times New Roman" w:hAnsi="Times New Roman" w:cs="Times New Roman"/>
          <w:b/>
          <w:bCs/>
          <w:color w:val="000000" w:themeColor="text1"/>
          <w:lang w:val="en-US"/>
        </w:rPr>
        <w:t>LITERATURE REVIEW AND</w:t>
      </w:r>
      <w:r w:rsidRPr="007418EB">
        <w:rPr>
          <w:rFonts w:ascii="Times New Roman" w:eastAsia="Times New Roman" w:hAnsi="Times New Roman" w:cs="Times New Roman"/>
          <w:b/>
          <w:bCs/>
          <w:color w:val="000000" w:themeColor="text1"/>
          <w:lang w:val="en-US"/>
        </w:rPr>
        <w:t xml:space="preserve"> EXPERIMENTAL RESEARCH</w:t>
      </w:r>
    </w:p>
    <w:p w:rsidR="00CB1844" w:rsidRPr="007418EB" w:rsidRDefault="00CB1844"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b/>
          <w:bCs/>
          <w:color w:val="000000" w:themeColor="text1"/>
          <w:lang w:val="en-US"/>
        </w:rPr>
        <w:t xml:space="preserve">2.1 Theoretical background on </w:t>
      </w:r>
      <w:r w:rsidR="003A3C9A" w:rsidRPr="007418EB">
        <w:rPr>
          <w:rFonts w:ascii="Times New Roman" w:eastAsia="Times New Roman" w:hAnsi="Times New Roman" w:cs="Times New Roman"/>
          <w:b/>
          <w:bCs/>
          <w:color w:val="000000" w:themeColor="text1"/>
          <w:lang w:val="en-US"/>
        </w:rPr>
        <w:t>exchange rate exposure</w:t>
      </w:r>
    </w:p>
    <w:p w:rsidR="00CB1844" w:rsidRPr="007418EB" w:rsidRDefault="00CB1844" w:rsidP="00CB1844">
      <w:pPr>
        <w:spacing w:after="0" w:line="340" w:lineRule="atLeast"/>
        <w:ind w:firstLine="448"/>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color w:val="000000" w:themeColor="text1"/>
          <w:lang w:val="en-US"/>
        </w:rPr>
        <w:t>So far, economic theories have suggested that there are many approaches to the impact of the foreign exchange market on the stock market, which makes empirical research on the interaction between these markets more relevant. become more attractive.</w:t>
      </w:r>
    </w:p>
    <w:p w:rsidR="00CB1844" w:rsidRPr="007418EB" w:rsidRDefault="00752FA9" w:rsidP="00CB1844">
      <w:pPr>
        <w:spacing w:after="0" w:line="340" w:lineRule="atLeast"/>
        <w:ind w:firstLine="448"/>
        <w:jc w:val="both"/>
        <w:rPr>
          <w:rFonts w:ascii="Times New Roman" w:eastAsia="Times New Roman" w:hAnsi="Times New Roman" w:cs="Times New Roman"/>
          <w:color w:val="000000" w:themeColor="text1"/>
          <w:sz w:val="27"/>
          <w:szCs w:val="27"/>
          <w:lang w:val="en-US"/>
        </w:rPr>
      </w:pPr>
      <w:r w:rsidRPr="00752FA9">
        <w:rPr>
          <w:rFonts w:ascii="Times New Roman" w:eastAsia="Times New Roman" w:hAnsi="Times New Roman" w:cs="Times New Roman"/>
          <w:color w:val="000000" w:themeColor="text1"/>
          <w:lang w:val="en-US"/>
        </w:rPr>
        <w:t>Arbitrage pricing theory (APT) of Ross (1976) states that determining the rate of return of securities should be based on expectations about the impact of macro factors, especially exchange rate</w:t>
      </w:r>
      <w:r>
        <w:rPr>
          <w:rFonts w:ascii="Times New Roman" w:eastAsia="Times New Roman" w:hAnsi="Times New Roman" w:cs="Times New Roman"/>
          <w:color w:val="000000" w:themeColor="text1"/>
          <w:lang w:val="en-US"/>
        </w:rPr>
        <w:t xml:space="preserve">. </w:t>
      </w:r>
      <w:r w:rsidR="00CB1844" w:rsidRPr="007418EB">
        <w:rPr>
          <w:rFonts w:ascii="Times New Roman" w:eastAsia="Times New Roman" w:hAnsi="Times New Roman" w:cs="Times New Roman"/>
          <w:color w:val="000000" w:themeColor="text1"/>
          <w:lang w:val="en-US"/>
        </w:rPr>
        <w:t>Dornbush and Fisher (1980) propose a fl</w:t>
      </w:r>
      <w:r w:rsidR="003A3C9A" w:rsidRPr="007418EB">
        <w:rPr>
          <w:rFonts w:ascii="Times New Roman" w:eastAsia="Times New Roman" w:hAnsi="Times New Roman" w:cs="Times New Roman"/>
          <w:color w:val="000000" w:themeColor="text1"/>
          <w:lang w:val="en-US"/>
        </w:rPr>
        <w:t>ow oriented model</w:t>
      </w:r>
      <w:r w:rsidR="00CB1844" w:rsidRPr="007418EB">
        <w:rPr>
          <w:rFonts w:ascii="Times New Roman" w:eastAsia="Times New Roman" w:hAnsi="Times New Roman" w:cs="Times New Roman"/>
          <w:color w:val="000000" w:themeColor="text1"/>
          <w:lang w:val="en-US"/>
        </w:rPr>
        <w:t>. In addition, the analysis of</w:t>
      </w:r>
      <w:r w:rsidR="008569F9">
        <w:rPr>
          <w:rFonts w:ascii="Times New Roman" w:eastAsia="Times New Roman" w:hAnsi="Times New Roman" w:cs="Times New Roman"/>
          <w:color w:val="000000" w:themeColor="text1"/>
          <w:lang w:val="en-US"/>
        </w:rPr>
        <w:t xml:space="preserve"> </w:t>
      </w:r>
      <w:r w:rsidR="008569F9" w:rsidRPr="008569F9">
        <w:rPr>
          <w:rFonts w:ascii="Times New Roman" w:eastAsia="Times New Roman" w:hAnsi="Times New Roman" w:cs="Times New Roman"/>
          <w:color w:val="000000" w:themeColor="text1"/>
          <w:lang w:val="en-US"/>
        </w:rPr>
        <w:t xml:space="preserve">the impact of foreign </w:t>
      </w:r>
      <w:r w:rsidR="008569F9">
        <w:rPr>
          <w:rFonts w:ascii="Times New Roman" w:eastAsia="Times New Roman" w:hAnsi="Times New Roman" w:cs="Times New Roman"/>
          <w:color w:val="000000" w:themeColor="text1"/>
          <w:lang w:val="en-US"/>
        </w:rPr>
        <w:t>portfolio</w:t>
      </w:r>
      <w:r w:rsidR="008569F9" w:rsidRPr="008569F9">
        <w:rPr>
          <w:rFonts w:ascii="Times New Roman" w:eastAsia="Times New Roman" w:hAnsi="Times New Roman" w:cs="Times New Roman"/>
          <w:color w:val="000000" w:themeColor="text1"/>
          <w:lang w:val="en-US"/>
        </w:rPr>
        <w:t xml:space="preserve"> investment flows on the exchange rate</w:t>
      </w:r>
      <w:r w:rsidR="008569F9">
        <w:rPr>
          <w:rFonts w:ascii="Times New Roman" w:eastAsia="Times New Roman" w:hAnsi="Times New Roman" w:cs="Times New Roman"/>
          <w:color w:val="000000" w:themeColor="text1"/>
          <w:lang w:val="en-US"/>
        </w:rPr>
        <w:t>,</w:t>
      </w:r>
      <w:r w:rsidR="00CB1844" w:rsidRPr="007418EB">
        <w:rPr>
          <w:rFonts w:ascii="Times New Roman" w:eastAsia="Times New Roman" w:hAnsi="Times New Roman" w:cs="Times New Roman"/>
          <w:color w:val="000000" w:themeColor="text1"/>
          <w:lang w:val="en-US"/>
        </w:rPr>
        <w:t xml:space="preserve"> exchange rate transmission channels to consumer prices also contributes to clarify the spillover effects from exchange rate c</w:t>
      </w:r>
      <w:r w:rsidR="003A3C9A" w:rsidRPr="007418EB">
        <w:rPr>
          <w:rFonts w:ascii="Times New Roman" w:eastAsia="Times New Roman" w:hAnsi="Times New Roman" w:cs="Times New Roman"/>
          <w:color w:val="000000" w:themeColor="text1"/>
          <w:lang w:val="en-US"/>
        </w:rPr>
        <w:t>hanges to stock price movements</w:t>
      </w:r>
      <w:r w:rsidR="00CB1844" w:rsidRPr="007418EB">
        <w:rPr>
          <w:rFonts w:ascii="Times New Roman" w:eastAsia="Times New Roman" w:hAnsi="Times New Roman" w:cs="Times New Roman"/>
          <w:color w:val="000000" w:themeColor="text1"/>
          <w:lang w:val="en-US"/>
        </w:rPr>
        <w:t>.</w:t>
      </w:r>
    </w:p>
    <w:p w:rsidR="00CB1844" w:rsidRPr="007418EB" w:rsidRDefault="00CB1844" w:rsidP="00CB1844">
      <w:pPr>
        <w:spacing w:after="0" w:line="340" w:lineRule="atLeast"/>
        <w:ind w:firstLine="448"/>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color w:val="000000" w:themeColor="text1"/>
          <w:lang w:val="en-US"/>
        </w:rPr>
        <w:lastRenderedPageBreak/>
        <w:t xml:space="preserve">There are different approaches to analyzing the mechanism of action of exchange rate fluctuations on firm value. Dumas (1978) emphasized that </w:t>
      </w:r>
      <w:r w:rsidR="003A3C9A" w:rsidRPr="007418EB">
        <w:rPr>
          <w:rFonts w:ascii="Times New Roman" w:eastAsia="Times New Roman" w:hAnsi="Times New Roman" w:cs="Times New Roman"/>
          <w:color w:val="000000" w:themeColor="text1"/>
          <w:lang w:val="en-US"/>
        </w:rPr>
        <w:t>exchange rate exposure</w:t>
      </w:r>
      <w:r w:rsidRPr="007418EB">
        <w:rPr>
          <w:rFonts w:ascii="Times New Roman" w:eastAsia="Times New Roman" w:hAnsi="Times New Roman" w:cs="Times New Roman"/>
          <w:color w:val="000000" w:themeColor="text1"/>
          <w:lang w:val="en-US"/>
        </w:rPr>
        <w:t xml:space="preserve"> (the sensitivity of enterprise value to currency fluctuations) is only determined when accompanied by a specific period of time and directly depends on the time frame. Investment space is being analyzed. Lessard (1979) first mentioned that the nature of the sensitivity to currency risk will change as the assessment period becomes longer in the future. Later, in their study, Stulz and Williamson (2000) decomposed the overall impact of exchange rate fluctuations on firm value into separate </w:t>
      </w:r>
      <w:r w:rsidR="00B1684C" w:rsidRPr="007418EB">
        <w:rPr>
          <w:rFonts w:ascii="Times New Roman" w:eastAsia="Times New Roman" w:hAnsi="Times New Roman" w:cs="Times New Roman"/>
          <w:color w:val="000000" w:themeColor="text1"/>
          <w:lang w:val="en-US"/>
        </w:rPr>
        <w:t>exposures, namely transaction exposure</w:t>
      </w:r>
      <w:r w:rsidRPr="007418EB">
        <w:rPr>
          <w:rFonts w:ascii="Times New Roman" w:eastAsia="Times New Roman" w:hAnsi="Times New Roman" w:cs="Times New Roman"/>
          <w:color w:val="000000" w:themeColor="text1"/>
          <w:lang w:val="en-US"/>
        </w:rPr>
        <w:t xml:space="preserve">, </w:t>
      </w:r>
      <w:r w:rsidR="002B775C" w:rsidRPr="007418EB">
        <w:rPr>
          <w:rFonts w:ascii="Times New Roman" w:eastAsia="Times New Roman" w:hAnsi="Times New Roman" w:cs="Times New Roman"/>
          <w:color w:val="000000" w:themeColor="text1"/>
          <w:lang w:val="en-US"/>
        </w:rPr>
        <w:t>competitive exposure</w:t>
      </w:r>
      <w:r w:rsidRPr="007418EB">
        <w:rPr>
          <w:rFonts w:ascii="Times New Roman" w:eastAsia="Times New Roman" w:hAnsi="Times New Roman" w:cs="Times New Roman"/>
          <w:color w:val="000000" w:themeColor="text1"/>
          <w:lang w:val="en-US"/>
        </w:rPr>
        <w:t xml:space="preserve">, and </w:t>
      </w:r>
      <w:r w:rsidR="002B775C" w:rsidRPr="007418EB">
        <w:rPr>
          <w:rFonts w:ascii="Times New Roman" w:eastAsia="Times New Roman" w:hAnsi="Times New Roman" w:cs="Times New Roman"/>
          <w:color w:val="000000" w:themeColor="text1"/>
          <w:lang w:val="en-US"/>
        </w:rPr>
        <w:t>translation exposure</w:t>
      </w:r>
      <w:r w:rsidRPr="007418EB">
        <w:rPr>
          <w:rFonts w:ascii="Times New Roman" w:eastAsia="Times New Roman" w:hAnsi="Times New Roman" w:cs="Times New Roman"/>
          <w:color w:val="000000" w:themeColor="text1"/>
          <w:lang w:val="en-US"/>
        </w:rPr>
        <w:t>.</w:t>
      </w:r>
    </w:p>
    <w:p w:rsidR="00CB1844" w:rsidRPr="007418EB" w:rsidRDefault="008330E8" w:rsidP="00CB1844">
      <w:pPr>
        <w:spacing w:after="0" w:line="340" w:lineRule="atLeast"/>
        <w:jc w:val="both"/>
        <w:rPr>
          <w:rFonts w:ascii="Times New Roman" w:eastAsia="Times New Roman" w:hAnsi="Times New Roman" w:cs="Times New Roman"/>
          <w:color w:val="000000" w:themeColor="text1"/>
          <w:sz w:val="27"/>
          <w:szCs w:val="27"/>
          <w:lang w:val="en-US"/>
        </w:rPr>
      </w:pPr>
      <w:bookmarkStart w:id="9" w:name="_Toc26691603"/>
      <w:r w:rsidRPr="007418EB">
        <w:rPr>
          <w:rFonts w:ascii="Times New Roman" w:eastAsia="Times New Roman" w:hAnsi="Times New Roman" w:cs="Times New Roman"/>
          <w:b/>
          <w:bCs/>
          <w:color w:val="000000" w:themeColor="text1"/>
          <w:lang w:val="en-US"/>
        </w:rPr>
        <w:t>2</w:t>
      </w:r>
      <w:r w:rsidR="00CB1844" w:rsidRPr="007418EB">
        <w:rPr>
          <w:rFonts w:ascii="Times New Roman" w:eastAsia="Times New Roman" w:hAnsi="Times New Roman" w:cs="Times New Roman"/>
          <w:b/>
          <w:bCs/>
          <w:color w:val="000000" w:themeColor="text1"/>
          <w:lang w:val="en-US"/>
        </w:rPr>
        <w:t>.2. </w:t>
      </w:r>
      <w:bookmarkStart w:id="10" w:name="_Toc23421668"/>
      <w:bookmarkEnd w:id="9"/>
      <w:r w:rsidR="00CB1844" w:rsidRPr="007418EB">
        <w:rPr>
          <w:rFonts w:ascii="Times New Roman" w:eastAsia="Times New Roman" w:hAnsi="Times New Roman" w:cs="Times New Roman"/>
          <w:b/>
          <w:bCs/>
          <w:color w:val="000000" w:themeColor="text1"/>
          <w:lang w:val="en-US"/>
        </w:rPr>
        <w:t xml:space="preserve">Empirical studies on </w:t>
      </w:r>
      <w:r w:rsidR="003A3C9A" w:rsidRPr="007418EB">
        <w:rPr>
          <w:rFonts w:ascii="Times New Roman" w:eastAsia="Times New Roman" w:hAnsi="Times New Roman" w:cs="Times New Roman"/>
          <w:b/>
          <w:bCs/>
          <w:color w:val="000000" w:themeColor="text1"/>
          <w:lang w:val="en-US"/>
        </w:rPr>
        <w:t>exchange rate exposure</w:t>
      </w:r>
      <w:bookmarkEnd w:id="10"/>
    </w:p>
    <w:p w:rsidR="008330E8" w:rsidRPr="007418EB" w:rsidRDefault="008330E8"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b/>
          <w:bCs/>
          <w:color w:val="000000" w:themeColor="text1"/>
          <w:lang w:val="en-US"/>
        </w:rPr>
        <w:t>2.2.1 Empirical studies on firm-level exchange rate exposure</w:t>
      </w:r>
    </w:p>
    <w:p w:rsidR="00CB1844" w:rsidRPr="007418EB" w:rsidRDefault="00CB1844"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b/>
          <w:bCs/>
          <w:color w:val="000000" w:themeColor="text1"/>
          <w:lang w:val="en-US"/>
        </w:rPr>
        <w:t>2.2</w:t>
      </w:r>
      <w:r w:rsidR="008330E8" w:rsidRPr="007418EB">
        <w:rPr>
          <w:rFonts w:ascii="Times New Roman" w:eastAsia="Times New Roman" w:hAnsi="Times New Roman" w:cs="Times New Roman"/>
          <w:b/>
          <w:bCs/>
          <w:color w:val="000000" w:themeColor="text1"/>
          <w:lang w:val="en-US"/>
        </w:rPr>
        <w:t>.1</w:t>
      </w:r>
      <w:r w:rsidRPr="007418EB">
        <w:rPr>
          <w:rFonts w:ascii="Times New Roman" w:eastAsia="Times New Roman" w:hAnsi="Times New Roman" w:cs="Times New Roman"/>
          <w:b/>
          <w:bCs/>
          <w:color w:val="000000" w:themeColor="text1"/>
          <w:lang w:val="en-US"/>
        </w:rPr>
        <w:t xml:space="preserve">.1 Background studies on methods of identifying </w:t>
      </w:r>
      <w:r w:rsidR="003A3C9A" w:rsidRPr="007418EB">
        <w:rPr>
          <w:rFonts w:ascii="Times New Roman" w:eastAsia="Times New Roman" w:hAnsi="Times New Roman" w:cs="Times New Roman"/>
          <w:b/>
          <w:bCs/>
          <w:color w:val="000000" w:themeColor="text1"/>
          <w:lang w:val="en-US"/>
        </w:rPr>
        <w:t>exchange rate exposure</w:t>
      </w:r>
    </w:p>
    <w:p w:rsidR="00CB1844" w:rsidRPr="007418EB" w:rsidRDefault="00CB1844" w:rsidP="00AF3DBB">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color w:val="000000" w:themeColor="text1"/>
          <w:lang w:val="en-US"/>
        </w:rPr>
        <w:t xml:space="preserve">Adler and Dumas (1984) developed a simple application technique for measuring </w:t>
      </w:r>
      <w:r w:rsidR="003A3C9A" w:rsidRPr="007418EB">
        <w:rPr>
          <w:rFonts w:ascii="Times New Roman" w:eastAsia="Times New Roman" w:hAnsi="Times New Roman" w:cs="Times New Roman"/>
          <w:color w:val="000000" w:themeColor="text1"/>
          <w:lang w:val="en-US"/>
        </w:rPr>
        <w:t>exchange rate exposure</w:t>
      </w:r>
      <w:r w:rsidR="00AF3DBB" w:rsidRPr="007418EB">
        <w:rPr>
          <w:rFonts w:ascii="Times New Roman" w:eastAsia="Times New Roman" w:hAnsi="Times New Roman" w:cs="Times New Roman"/>
          <w:color w:val="000000" w:themeColor="text1"/>
          <w:lang w:val="en-US"/>
        </w:rPr>
        <w:t>. The exchange rate exposure</w:t>
      </w:r>
      <w:r w:rsidRPr="007418EB">
        <w:rPr>
          <w:rFonts w:ascii="Times New Roman" w:eastAsia="Times New Roman" w:hAnsi="Times New Roman" w:cs="Times New Roman"/>
          <w:color w:val="000000" w:themeColor="text1"/>
          <w:lang w:val="en-US"/>
        </w:rPr>
        <w:t xml:space="preserve"> is determined to be the “</w:t>
      </w:r>
      <w:r w:rsidR="00AF3DBB" w:rsidRPr="007418EB">
        <w:rPr>
          <w:rFonts w:ascii="Times New Roman" w:eastAsia="Times New Roman" w:hAnsi="Times New Roman" w:cs="Times New Roman"/>
          <w:color w:val="000000" w:themeColor="text1"/>
          <w:lang w:val="en-US"/>
        </w:rPr>
        <w:t>the amounts of foreign currencies which represent the sensitivity of the future, real domestic-currency (market) value of any physical or financial asset to random variations in the future domestic purchasing powers of these foreign currencies, at some specific future date</w:t>
      </w:r>
      <w:r w:rsidR="009C07A8" w:rsidRPr="007418EB">
        <w:rPr>
          <w:rFonts w:ascii="Times New Roman" w:eastAsia="Times New Roman" w:hAnsi="Times New Roman" w:cs="Times New Roman"/>
          <w:color w:val="000000" w:themeColor="text1"/>
          <w:lang w:val="en-US"/>
        </w:rPr>
        <w:t>.</w:t>
      </w:r>
      <w:r w:rsidRPr="007418EB">
        <w:rPr>
          <w:rFonts w:ascii="Times New Roman" w:eastAsia="Times New Roman" w:hAnsi="Times New Roman" w:cs="Times New Roman"/>
          <w:color w:val="000000" w:themeColor="text1"/>
          <w:lang w:val="en-US"/>
        </w:rPr>
        <w:t xml:space="preserve">” The authors therefore estimate the sensitivity of an asset by regressing the market value in the local currency of the asset at the exchange rate. Because using the original data series in the regression model, there will be statistical problems, Alder et al. (1986) proposed using the stock rate of return and the degree of exchange rate change to helping data series be more stable, </w:t>
      </w:r>
      <w:r w:rsidRPr="007418EB">
        <w:rPr>
          <w:rFonts w:ascii="Times New Roman" w:eastAsia="Times New Roman" w:hAnsi="Times New Roman" w:cs="Times New Roman"/>
          <w:color w:val="000000" w:themeColor="text1"/>
          <w:lang w:val="en-US"/>
        </w:rPr>
        <w:lastRenderedPageBreak/>
        <w:t xml:space="preserve">achieving stop counting. A series of subsequent studies on </w:t>
      </w:r>
      <w:r w:rsidR="003A3C9A" w:rsidRPr="007418EB">
        <w:rPr>
          <w:rFonts w:ascii="Times New Roman" w:eastAsia="Times New Roman" w:hAnsi="Times New Roman" w:cs="Times New Roman"/>
          <w:color w:val="000000" w:themeColor="text1"/>
          <w:lang w:val="en-US"/>
        </w:rPr>
        <w:t>exchange rate exposure</w:t>
      </w:r>
      <w:r w:rsidRPr="007418EB">
        <w:rPr>
          <w:rFonts w:ascii="Times New Roman" w:eastAsia="Times New Roman" w:hAnsi="Times New Roman" w:cs="Times New Roman"/>
          <w:color w:val="000000" w:themeColor="text1"/>
          <w:lang w:val="en-US"/>
        </w:rPr>
        <w:t xml:space="preserve"> at firm level are based on this approach which means that </w:t>
      </w:r>
      <w:r w:rsidR="003A3C9A" w:rsidRPr="007418EB">
        <w:rPr>
          <w:rFonts w:ascii="Times New Roman" w:eastAsia="Times New Roman" w:hAnsi="Times New Roman" w:cs="Times New Roman"/>
          <w:color w:val="000000" w:themeColor="text1"/>
          <w:lang w:val="en-US"/>
        </w:rPr>
        <w:t>exchange rate exposure</w:t>
      </w:r>
      <w:r w:rsidRPr="007418EB">
        <w:rPr>
          <w:rFonts w:ascii="Times New Roman" w:eastAsia="Times New Roman" w:hAnsi="Times New Roman" w:cs="Times New Roman"/>
          <w:color w:val="000000" w:themeColor="text1"/>
          <w:lang w:val="en-US"/>
        </w:rPr>
        <w:t xml:space="preserve"> is almost always measured indirectly or indirectly. capital market approach</w:t>
      </w:r>
    </w:p>
    <w:p w:rsidR="00CB1844" w:rsidRPr="007418EB" w:rsidRDefault="00CB1844"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color w:val="000000" w:themeColor="text1"/>
          <w:lang w:val="en-US"/>
        </w:rPr>
        <w:t>In the capital market method</w:t>
      </w:r>
      <w:r w:rsidR="009C07A8" w:rsidRPr="007418EB">
        <w:rPr>
          <w:rFonts w:ascii="Times New Roman" w:eastAsia="Times New Roman" w:hAnsi="Times New Roman" w:cs="Times New Roman"/>
          <w:color w:val="000000" w:themeColor="text1"/>
          <w:lang w:val="en-US"/>
        </w:rPr>
        <w:t xml:space="preserve"> proposed by Adler et al. (1986)</w:t>
      </w:r>
      <w:r w:rsidRPr="007418EB">
        <w:rPr>
          <w:rFonts w:ascii="Times New Roman" w:eastAsia="Times New Roman" w:hAnsi="Times New Roman" w:cs="Times New Roman"/>
          <w:color w:val="000000" w:themeColor="text1"/>
          <w:lang w:val="en-US"/>
        </w:rPr>
        <w:t xml:space="preserve">, the </w:t>
      </w:r>
      <w:r w:rsidR="003A3C9A" w:rsidRPr="007418EB">
        <w:rPr>
          <w:rFonts w:ascii="Times New Roman" w:eastAsia="Times New Roman" w:hAnsi="Times New Roman" w:cs="Times New Roman"/>
          <w:color w:val="000000" w:themeColor="text1"/>
          <w:lang w:val="en-US"/>
        </w:rPr>
        <w:t>exchange rate exposure</w:t>
      </w:r>
      <w:r w:rsidRPr="007418EB">
        <w:rPr>
          <w:rFonts w:ascii="Times New Roman" w:eastAsia="Times New Roman" w:hAnsi="Times New Roman" w:cs="Times New Roman"/>
          <w:color w:val="000000" w:themeColor="text1"/>
          <w:lang w:val="en-US"/>
        </w:rPr>
        <w:t xml:space="preserve"> of firm i is simply measured by the fluctuation in the rate of return. The security is correlated with changes in exchange rates, and this is considered to be the company</w:t>
      </w:r>
      <w:r w:rsidR="00B1684C" w:rsidRPr="007418EB">
        <w:rPr>
          <w:rFonts w:ascii="Times New Roman" w:eastAsia="Times New Roman" w:hAnsi="Times New Roman" w:cs="Times New Roman"/>
          <w:color w:val="000000" w:themeColor="text1"/>
          <w:lang w:val="en-US"/>
        </w:rPr>
        <w:t>’</w:t>
      </w:r>
      <w:r w:rsidRPr="007418EB">
        <w:rPr>
          <w:rFonts w:ascii="Times New Roman" w:eastAsia="Times New Roman" w:hAnsi="Times New Roman" w:cs="Times New Roman"/>
          <w:color w:val="000000" w:themeColor="text1"/>
          <w:lang w:val="en-US"/>
        </w:rPr>
        <w:t xml:space="preserve">s total exposure. However, because other macroeconomic variables can change the simultaneous correlation of exchange rate fluctuations and stock returns, the failure to consider these factors in the model will lead to estimation. exaggerating the impact of exchange rate fluctuations on stock returns. This is also the reason that Jorion (1990) offers a measure of </w:t>
      </w:r>
      <w:r w:rsidR="003A3C9A" w:rsidRPr="007418EB">
        <w:rPr>
          <w:rFonts w:ascii="Times New Roman" w:eastAsia="Times New Roman" w:hAnsi="Times New Roman" w:cs="Times New Roman"/>
          <w:color w:val="000000" w:themeColor="text1"/>
          <w:lang w:val="en-US"/>
        </w:rPr>
        <w:t>exchange rate exposure</w:t>
      </w:r>
      <w:r w:rsidRPr="007418EB">
        <w:rPr>
          <w:rFonts w:ascii="Times New Roman" w:eastAsia="Times New Roman" w:hAnsi="Times New Roman" w:cs="Times New Roman"/>
          <w:color w:val="000000" w:themeColor="text1"/>
          <w:lang w:val="en-US"/>
        </w:rPr>
        <w:t xml:space="preserve"> called residual exposure, which is the dominant part of the market</w:t>
      </w:r>
      <w:r w:rsidR="00B1684C" w:rsidRPr="007418EB">
        <w:rPr>
          <w:rFonts w:ascii="Times New Roman" w:eastAsia="Times New Roman" w:hAnsi="Times New Roman" w:cs="Times New Roman"/>
          <w:color w:val="000000" w:themeColor="text1"/>
          <w:lang w:val="en-US"/>
        </w:rPr>
        <w:t>’</w:t>
      </w:r>
      <w:r w:rsidRPr="007418EB">
        <w:rPr>
          <w:rFonts w:ascii="Times New Roman" w:eastAsia="Times New Roman" w:hAnsi="Times New Roman" w:cs="Times New Roman"/>
          <w:color w:val="000000" w:themeColor="text1"/>
          <w:lang w:val="en-US"/>
        </w:rPr>
        <w:t>s response to exchange rate fluctuations.</w:t>
      </w:r>
    </w:p>
    <w:p w:rsidR="00CB1844" w:rsidRPr="007418EB" w:rsidRDefault="00CB1844"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color w:val="000000" w:themeColor="text1"/>
          <w:lang w:val="en-US"/>
        </w:rPr>
        <w:t xml:space="preserve">The analysis at the portfolio level will be more effective than the level of each firm because the rate of return of the portfolio is less disturbed than each individual stock. However, this finding is only suitable for groups of companies with </w:t>
      </w:r>
      <w:r w:rsidR="003A3C9A" w:rsidRPr="007418EB">
        <w:rPr>
          <w:rFonts w:ascii="Times New Roman" w:eastAsia="Times New Roman" w:hAnsi="Times New Roman" w:cs="Times New Roman"/>
          <w:color w:val="000000" w:themeColor="text1"/>
          <w:lang w:val="en-US"/>
        </w:rPr>
        <w:t>exchange rate exposure</w:t>
      </w:r>
      <w:r w:rsidRPr="007418EB">
        <w:rPr>
          <w:rFonts w:ascii="Times New Roman" w:eastAsia="Times New Roman" w:hAnsi="Times New Roman" w:cs="Times New Roman"/>
          <w:color w:val="000000" w:themeColor="text1"/>
          <w:lang w:val="en-US"/>
        </w:rPr>
        <w:t xml:space="preserve"> which are expected to be similar, which are companies of the same scale in the same field with input market and product consumption. is the same.</w:t>
      </w:r>
    </w:p>
    <w:p w:rsidR="00CB1844" w:rsidRPr="007418EB" w:rsidRDefault="00CB1844"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color w:val="000000" w:themeColor="text1"/>
          <w:lang w:val="en-US"/>
        </w:rPr>
        <w:t xml:space="preserve">Most of the early studies on </w:t>
      </w:r>
      <w:r w:rsidR="003A3C9A" w:rsidRPr="007418EB">
        <w:rPr>
          <w:rFonts w:ascii="Times New Roman" w:eastAsia="Times New Roman" w:hAnsi="Times New Roman" w:cs="Times New Roman"/>
          <w:color w:val="000000" w:themeColor="text1"/>
          <w:lang w:val="en-US"/>
        </w:rPr>
        <w:t>exchange rate exposure</w:t>
      </w:r>
      <w:r w:rsidRPr="007418EB">
        <w:rPr>
          <w:rFonts w:ascii="Times New Roman" w:eastAsia="Times New Roman" w:hAnsi="Times New Roman" w:cs="Times New Roman"/>
          <w:color w:val="000000" w:themeColor="text1"/>
          <w:lang w:val="en-US"/>
        </w:rPr>
        <w:t xml:space="preserve"> have focused on the US market, and many have been conducted in other countries. Expanding the research sample to economies with high levels of openness and large flows of international trade will provide a more diverse empirical evidence of </w:t>
      </w:r>
      <w:r w:rsidR="003A3C9A" w:rsidRPr="007418EB">
        <w:rPr>
          <w:rFonts w:ascii="Times New Roman" w:eastAsia="Times New Roman" w:hAnsi="Times New Roman" w:cs="Times New Roman"/>
          <w:color w:val="000000" w:themeColor="text1"/>
          <w:lang w:val="en-US"/>
        </w:rPr>
        <w:t>exchange rate exposure</w:t>
      </w:r>
      <w:r w:rsidRPr="007418EB">
        <w:rPr>
          <w:rFonts w:ascii="Times New Roman" w:eastAsia="Times New Roman" w:hAnsi="Times New Roman" w:cs="Times New Roman"/>
          <w:color w:val="000000" w:themeColor="text1"/>
          <w:lang w:val="en-US"/>
        </w:rPr>
        <w:t>.</w:t>
      </w:r>
    </w:p>
    <w:p w:rsidR="00CB1844" w:rsidRPr="007418EB" w:rsidRDefault="00904EB4"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b/>
          <w:bCs/>
          <w:color w:val="000000" w:themeColor="text1"/>
          <w:lang w:val="en-US"/>
        </w:rPr>
        <w:lastRenderedPageBreak/>
        <w:t>2.2.</w:t>
      </w:r>
      <w:r w:rsidR="008330E8" w:rsidRPr="007418EB">
        <w:rPr>
          <w:rFonts w:ascii="Times New Roman" w:eastAsia="Times New Roman" w:hAnsi="Times New Roman" w:cs="Times New Roman"/>
          <w:b/>
          <w:bCs/>
          <w:color w:val="000000" w:themeColor="text1"/>
          <w:lang w:val="en-US"/>
        </w:rPr>
        <w:t>1.</w:t>
      </w:r>
      <w:r w:rsidRPr="007418EB">
        <w:rPr>
          <w:rFonts w:ascii="Times New Roman" w:eastAsia="Times New Roman" w:hAnsi="Times New Roman" w:cs="Times New Roman"/>
          <w:b/>
          <w:bCs/>
          <w:color w:val="000000" w:themeColor="text1"/>
          <w:lang w:val="en-US"/>
        </w:rPr>
        <w:t xml:space="preserve">2 Improvements </w:t>
      </w:r>
      <w:r w:rsidR="00CB1844" w:rsidRPr="007418EB">
        <w:rPr>
          <w:rFonts w:ascii="Times New Roman" w:eastAsia="Times New Roman" w:hAnsi="Times New Roman" w:cs="Times New Roman"/>
          <w:b/>
          <w:bCs/>
          <w:color w:val="000000" w:themeColor="text1"/>
          <w:lang w:val="en-US"/>
        </w:rPr>
        <w:t xml:space="preserve">of research methodology on </w:t>
      </w:r>
      <w:r w:rsidR="003A3C9A" w:rsidRPr="007418EB">
        <w:rPr>
          <w:rFonts w:ascii="Times New Roman" w:eastAsia="Times New Roman" w:hAnsi="Times New Roman" w:cs="Times New Roman"/>
          <w:b/>
          <w:bCs/>
          <w:color w:val="000000" w:themeColor="text1"/>
          <w:lang w:val="en-US"/>
        </w:rPr>
        <w:t>exchange rate exposure</w:t>
      </w:r>
    </w:p>
    <w:p w:rsidR="00CB1844" w:rsidRPr="007418EB" w:rsidRDefault="005A2D86"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color w:val="000000" w:themeColor="text1"/>
          <w:lang w:val="en-US"/>
        </w:rPr>
        <w:t>Studies conducted to prove the debate about the use of adjusted market portfolios, using a bilateral exchange rate or exchange rate index based on trade, nominal or real exchange rates. In addition, to solve the multicollinearity problem, a two-step method is implemented, namely regression of exchange rate according to market risk factors and using the residuals of this regression to be included in the exchange rate exposure estimation model of Jorion. Moreover</w:t>
      </w:r>
      <w:r w:rsidR="00CB1844" w:rsidRPr="007418EB">
        <w:rPr>
          <w:rFonts w:ascii="Times New Roman" w:eastAsia="Times New Roman" w:hAnsi="Times New Roman" w:cs="Times New Roman"/>
          <w:color w:val="000000" w:themeColor="text1"/>
          <w:lang w:val="en-US"/>
        </w:rPr>
        <w:t xml:space="preserve">, the exchange rate regime that countries are applying is also the factor affecting </w:t>
      </w:r>
      <w:r w:rsidR="003A3C9A" w:rsidRPr="007418EB">
        <w:rPr>
          <w:rFonts w:ascii="Times New Roman" w:eastAsia="Times New Roman" w:hAnsi="Times New Roman" w:cs="Times New Roman"/>
          <w:color w:val="000000" w:themeColor="text1"/>
          <w:lang w:val="en-US"/>
        </w:rPr>
        <w:t>exchange rate exposure</w:t>
      </w:r>
      <w:r w:rsidR="00CB1844" w:rsidRPr="007418EB">
        <w:rPr>
          <w:rFonts w:ascii="Times New Roman" w:eastAsia="Times New Roman" w:hAnsi="Times New Roman" w:cs="Times New Roman"/>
          <w:color w:val="000000" w:themeColor="text1"/>
          <w:lang w:val="en-US"/>
        </w:rPr>
        <w:t>.</w:t>
      </w:r>
    </w:p>
    <w:p w:rsidR="00CB1844" w:rsidRPr="007418EB" w:rsidRDefault="00CB1844"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b/>
          <w:bCs/>
          <w:color w:val="000000" w:themeColor="text1"/>
          <w:lang w:val="en-US"/>
        </w:rPr>
        <w:t>2.2.</w:t>
      </w:r>
      <w:r w:rsidR="008330E8" w:rsidRPr="007418EB">
        <w:rPr>
          <w:rFonts w:ascii="Times New Roman" w:eastAsia="Times New Roman" w:hAnsi="Times New Roman" w:cs="Times New Roman"/>
          <w:b/>
          <w:bCs/>
          <w:color w:val="000000" w:themeColor="text1"/>
          <w:lang w:val="en-US"/>
        </w:rPr>
        <w:t>1.</w:t>
      </w:r>
      <w:r w:rsidRPr="007418EB">
        <w:rPr>
          <w:rFonts w:ascii="Times New Roman" w:eastAsia="Times New Roman" w:hAnsi="Times New Roman" w:cs="Times New Roman"/>
          <w:b/>
          <w:bCs/>
          <w:color w:val="000000" w:themeColor="text1"/>
          <w:lang w:val="en-US"/>
        </w:rPr>
        <w:t xml:space="preserve">3 Studies of the characteristics of </w:t>
      </w:r>
      <w:r w:rsidR="003A3C9A" w:rsidRPr="007418EB">
        <w:rPr>
          <w:rFonts w:ascii="Times New Roman" w:eastAsia="Times New Roman" w:hAnsi="Times New Roman" w:cs="Times New Roman"/>
          <w:b/>
          <w:bCs/>
          <w:color w:val="000000" w:themeColor="text1"/>
          <w:lang w:val="en-US"/>
        </w:rPr>
        <w:t>exchange rate exposure</w:t>
      </w:r>
    </w:p>
    <w:p w:rsidR="00CB1844" w:rsidRPr="007418EB" w:rsidRDefault="00CB1844"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color w:val="000000" w:themeColor="text1"/>
          <w:lang w:val="en-US"/>
        </w:rPr>
        <w:t xml:space="preserve">One of the more debates in </w:t>
      </w:r>
      <w:r w:rsidR="003A3C9A" w:rsidRPr="007418EB">
        <w:rPr>
          <w:rFonts w:ascii="Times New Roman" w:eastAsia="Times New Roman" w:hAnsi="Times New Roman" w:cs="Times New Roman"/>
          <w:color w:val="000000" w:themeColor="text1"/>
          <w:lang w:val="en-US"/>
        </w:rPr>
        <w:t>exchange rate exposure</w:t>
      </w:r>
      <w:r w:rsidRPr="007418EB">
        <w:rPr>
          <w:rFonts w:ascii="Times New Roman" w:eastAsia="Times New Roman" w:hAnsi="Times New Roman" w:cs="Times New Roman"/>
          <w:color w:val="000000" w:themeColor="text1"/>
          <w:lang w:val="en-US"/>
        </w:rPr>
        <w:t xml:space="preserve"> is that a company</w:t>
      </w:r>
      <w:r w:rsidR="00B1684C" w:rsidRPr="007418EB">
        <w:rPr>
          <w:rFonts w:ascii="Times New Roman" w:eastAsia="Times New Roman" w:hAnsi="Times New Roman" w:cs="Times New Roman"/>
          <w:color w:val="000000" w:themeColor="text1"/>
          <w:lang w:val="en-US"/>
        </w:rPr>
        <w:t>’</w:t>
      </w:r>
      <w:r w:rsidRPr="007418EB">
        <w:rPr>
          <w:rFonts w:ascii="Times New Roman" w:eastAsia="Times New Roman" w:hAnsi="Times New Roman" w:cs="Times New Roman"/>
          <w:color w:val="000000" w:themeColor="text1"/>
          <w:lang w:val="en-US"/>
        </w:rPr>
        <w:t xml:space="preserve">s price sensitivity is likely to fluctuate over time, and the authors divide the study time data series into small periods. and examine the invariants of </w:t>
      </w:r>
      <w:r w:rsidR="003A3C9A" w:rsidRPr="007418EB">
        <w:rPr>
          <w:rFonts w:ascii="Times New Roman" w:eastAsia="Times New Roman" w:hAnsi="Times New Roman" w:cs="Times New Roman"/>
          <w:color w:val="000000" w:themeColor="text1"/>
          <w:lang w:val="en-US"/>
        </w:rPr>
        <w:t>exchange rate exposure</w:t>
      </w:r>
      <w:r w:rsidRPr="007418EB">
        <w:rPr>
          <w:rFonts w:ascii="Times New Roman" w:eastAsia="Times New Roman" w:hAnsi="Times New Roman" w:cs="Times New Roman"/>
          <w:color w:val="000000" w:themeColor="text1"/>
          <w:lang w:val="en-US"/>
        </w:rPr>
        <w:t xml:space="preserve"> over different periods (Jorion, 1990; Amihud, 1994; Choi and Prasad, 1995; Glaum et al., 2000; He and Ng, 1998; Williamson, 2001; Doukas et al., 2003; Dominguez and Tesar, 2006). Therefore, it is necessary to use a reasonable observation frequency when assessing the relationship between stock rate of return and exchange rate fluctuation. At the same time, the impact of a hedging strategy should be combined when estimating </w:t>
      </w:r>
      <w:r w:rsidR="003A3C9A" w:rsidRPr="007418EB">
        <w:rPr>
          <w:rFonts w:ascii="Times New Roman" w:eastAsia="Times New Roman" w:hAnsi="Times New Roman" w:cs="Times New Roman"/>
          <w:color w:val="000000" w:themeColor="text1"/>
          <w:lang w:val="en-US"/>
        </w:rPr>
        <w:t>exchange rate exposure</w:t>
      </w:r>
      <w:r w:rsidRPr="007418EB">
        <w:rPr>
          <w:rFonts w:ascii="Times New Roman" w:eastAsia="Times New Roman" w:hAnsi="Times New Roman" w:cs="Times New Roman"/>
          <w:color w:val="000000" w:themeColor="text1"/>
          <w:lang w:val="en-US"/>
        </w:rPr>
        <w:t xml:space="preserve">. An important finding is that </w:t>
      </w:r>
      <w:r w:rsidR="003A3C9A" w:rsidRPr="007418EB">
        <w:rPr>
          <w:rFonts w:ascii="Times New Roman" w:eastAsia="Times New Roman" w:hAnsi="Times New Roman" w:cs="Times New Roman"/>
          <w:color w:val="000000" w:themeColor="text1"/>
          <w:lang w:val="en-US"/>
        </w:rPr>
        <w:t>exchange rate exposure</w:t>
      </w:r>
      <w:r w:rsidRPr="007418EB">
        <w:rPr>
          <w:rFonts w:ascii="Times New Roman" w:eastAsia="Times New Roman" w:hAnsi="Times New Roman" w:cs="Times New Roman"/>
          <w:color w:val="000000" w:themeColor="text1"/>
          <w:lang w:val="en-US"/>
        </w:rPr>
        <w:t xml:space="preserve"> will have nonlinear and asymmetric behavior.</w:t>
      </w:r>
    </w:p>
    <w:p w:rsidR="00CB1844" w:rsidRPr="007418EB" w:rsidRDefault="00904EB4"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b/>
          <w:bCs/>
          <w:color w:val="000000" w:themeColor="text1"/>
          <w:lang w:val="en-US"/>
        </w:rPr>
        <w:t>2.2.</w:t>
      </w:r>
      <w:r w:rsidR="008330E8" w:rsidRPr="007418EB">
        <w:rPr>
          <w:rFonts w:ascii="Times New Roman" w:eastAsia="Times New Roman" w:hAnsi="Times New Roman" w:cs="Times New Roman"/>
          <w:b/>
          <w:bCs/>
          <w:color w:val="000000" w:themeColor="text1"/>
          <w:lang w:val="en-US"/>
        </w:rPr>
        <w:t>1.</w:t>
      </w:r>
      <w:r w:rsidRPr="007418EB">
        <w:rPr>
          <w:rFonts w:ascii="Times New Roman" w:eastAsia="Times New Roman" w:hAnsi="Times New Roman" w:cs="Times New Roman"/>
          <w:b/>
          <w:bCs/>
          <w:color w:val="000000" w:themeColor="text1"/>
          <w:lang w:val="en-US"/>
        </w:rPr>
        <w:t>4 Studies</w:t>
      </w:r>
      <w:r w:rsidR="00CB1844" w:rsidRPr="007418EB">
        <w:rPr>
          <w:rFonts w:ascii="Times New Roman" w:eastAsia="Times New Roman" w:hAnsi="Times New Roman" w:cs="Times New Roman"/>
          <w:b/>
          <w:bCs/>
          <w:color w:val="000000" w:themeColor="text1"/>
          <w:lang w:val="en-US"/>
        </w:rPr>
        <w:t xml:space="preserve"> on factors affecting </w:t>
      </w:r>
      <w:r w:rsidR="003A3C9A" w:rsidRPr="007418EB">
        <w:rPr>
          <w:rFonts w:ascii="Times New Roman" w:eastAsia="Times New Roman" w:hAnsi="Times New Roman" w:cs="Times New Roman"/>
          <w:b/>
          <w:bCs/>
          <w:color w:val="000000" w:themeColor="text1"/>
          <w:lang w:val="en-US"/>
        </w:rPr>
        <w:t>exchange rate exposure</w:t>
      </w:r>
    </w:p>
    <w:p w:rsidR="00CB1844" w:rsidRPr="007418EB" w:rsidRDefault="00CB1844"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color w:val="000000" w:themeColor="text1"/>
          <w:lang w:val="en-US"/>
        </w:rPr>
        <w:t xml:space="preserve">The asymmetric </w:t>
      </w:r>
      <w:r w:rsidR="003A3C9A" w:rsidRPr="007418EB">
        <w:rPr>
          <w:rFonts w:ascii="Times New Roman" w:eastAsia="Times New Roman" w:hAnsi="Times New Roman" w:cs="Times New Roman"/>
          <w:color w:val="000000" w:themeColor="text1"/>
          <w:lang w:val="en-US"/>
        </w:rPr>
        <w:t>exchange rate exposure</w:t>
      </w:r>
      <w:r w:rsidRPr="007418EB">
        <w:rPr>
          <w:rFonts w:ascii="Times New Roman" w:eastAsia="Times New Roman" w:hAnsi="Times New Roman" w:cs="Times New Roman"/>
          <w:color w:val="000000" w:themeColor="text1"/>
          <w:lang w:val="en-US"/>
        </w:rPr>
        <w:t xml:space="preserve"> implies that when the exchange rate fluctuates in an upward or downward direction, the degree to which businesses are affected is the difference between these </w:t>
      </w:r>
      <w:r w:rsidRPr="007418EB">
        <w:rPr>
          <w:rFonts w:ascii="Times New Roman" w:eastAsia="Times New Roman" w:hAnsi="Times New Roman" w:cs="Times New Roman"/>
          <w:color w:val="000000" w:themeColor="text1"/>
          <w:lang w:val="en-US"/>
        </w:rPr>
        <w:lastRenderedPageBreak/>
        <w:t>two price movements. This issue is addressed in a number of theoretical models that describe company behavior, such as the asymmetric pricing in the market (PTM - Pricing to market) of the firm (Knetter, 1994), delays (Baldwin and Krugman, 1989), and hedge against asymmetric exchange rate risk.</w:t>
      </w:r>
    </w:p>
    <w:p w:rsidR="00CB1844" w:rsidRPr="007418EB" w:rsidRDefault="00CB1844"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color w:val="000000" w:themeColor="text1"/>
          <w:lang w:val="en-US"/>
        </w:rPr>
        <w:t xml:space="preserve">In addition to identifying the possibility of </w:t>
      </w:r>
      <w:r w:rsidR="003A3C9A" w:rsidRPr="007418EB">
        <w:rPr>
          <w:rFonts w:ascii="Times New Roman" w:eastAsia="Times New Roman" w:hAnsi="Times New Roman" w:cs="Times New Roman"/>
          <w:color w:val="000000" w:themeColor="text1"/>
          <w:lang w:val="en-US"/>
        </w:rPr>
        <w:t>exchange rate exposure</w:t>
      </w:r>
      <w:r w:rsidRPr="007418EB">
        <w:rPr>
          <w:rFonts w:ascii="Times New Roman" w:eastAsia="Times New Roman" w:hAnsi="Times New Roman" w:cs="Times New Roman"/>
          <w:color w:val="000000" w:themeColor="text1"/>
          <w:lang w:val="en-US"/>
        </w:rPr>
        <w:t xml:space="preserve"> through analysis linked to theories in enterprise behavior, researchers have conducted empirical studies that address individual considerations. Factors affecting </w:t>
      </w:r>
      <w:r w:rsidR="003A3C9A" w:rsidRPr="007418EB">
        <w:rPr>
          <w:rFonts w:ascii="Times New Roman" w:eastAsia="Times New Roman" w:hAnsi="Times New Roman" w:cs="Times New Roman"/>
          <w:color w:val="000000" w:themeColor="text1"/>
          <w:lang w:val="en-US"/>
        </w:rPr>
        <w:t>exchange rate exposure</w:t>
      </w:r>
      <w:r w:rsidRPr="007418EB">
        <w:rPr>
          <w:rFonts w:ascii="Times New Roman" w:eastAsia="Times New Roman" w:hAnsi="Times New Roman" w:cs="Times New Roman"/>
          <w:color w:val="000000" w:themeColor="text1"/>
          <w:lang w:val="en-US"/>
        </w:rPr>
        <w:t xml:space="preserve"> through testing factors affecting </w:t>
      </w:r>
      <w:r w:rsidR="003A3C9A" w:rsidRPr="007418EB">
        <w:rPr>
          <w:rFonts w:ascii="Times New Roman" w:eastAsia="Times New Roman" w:hAnsi="Times New Roman" w:cs="Times New Roman"/>
          <w:color w:val="000000" w:themeColor="text1"/>
          <w:lang w:val="en-US"/>
        </w:rPr>
        <w:t>exchange rate exposure</w:t>
      </w:r>
      <w:r w:rsidRPr="007418EB">
        <w:rPr>
          <w:rFonts w:ascii="Times New Roman" w:eastAsia="Times New Roman" w:hAnsi="Times New Roman" w:cs="Times New Roman"/>
          <w:color w:val="000000" w:themeColor="text1"/>
          <w:lang w:val="en-US"/>
        </w:rPr>
        <w:t xml:space="preserve"> of the company are factors that belong to national characteristics and company characteristics.</w:t>
      </w:r>
    </w:p>
    <w:p w:rsidR="00CB1844" w:rsidRPr="007418EB" w:rsidRDefault="008330E8"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b/>
          <w:bCs/>
          <w:color w:val="000000" w:themeColor="text1"/>
          <w:lang w:val="en-US"/>
        </w:rPr>
        <w:t>2.2.2</w:t>
      </w:r>
      <w:r w:rsidR="00CB1844" w:rsidRPr="007418EB">
        <w:rPr>
          <w:rFonts w:ascii="Times New Roman" w:eastAsia="Times New Roman" w:hAnsi="Times New Roman" w:cs="Times New Roman"/>
          <w:b/>
          <w:bCs/>
          <w:color w:val="000000" w:themeColor="text1"/>
          <w:lang w:val="en-US"/>
        </w:rPr>
        <w:t xml:space="preserve"> Empirical study of market-level </w:t>
      </w:r>
      <w:r w:rsidR="003A3C9A" w:rsidRPr="007418EB">
        <w:rPr>
          <w:rFonts w:ascii="Times New Roman" w:eastAsia="Times New Roman" w:hAnsi="Times New Roman" w:cs="Times New Roman"/>
          <w:b/>
          <w:bCs/>
          <w:color w:val="000000" w:themeColor="text1"/>
          <w:lang w:val="en-US"/>
        </w:rPr>
        <w:t>exchange rate exposure</w:t>
      </w:r>
    </w:p>
    <w:p w:rsidR="00CB1844" w:rsidRPr="007418EB" w:rsidRDefault="00CB1844"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color w:val="000000" w:themeColor="text1"/>
          <w:lang w:val="en-US"/>
        </w:rPr>
        <w:t xml:space="preserve">The study of market-level </w:t>
      </w:r>
      <w:r w:rsidR="003A3C9A" w:rsidRPr="007418EB">
        <w:rPr>
          <w:rFonts w:ascii="Times New Roman" w:eastAsia="Times New Roman" w:hAnsi="Times New Roman" w:cs="Times New Roman"/>
          <w:color w:val="000000" w:themeColor="text1"/>
          <w:lang w:val="en-US"/>
        </w:rPr>
        <w:t>exchange rate exposure</w:t>
      </w:r>
      <w:r w:rsidRPr="007418EB">
        <w:rPr>
          <w:rFonts w:ascii="Times New Roman" w:eastAsia="Times New Roman" w:hAnsi="Times New Roman" w:cs="Times New Roman"/>
          <w:color w:val="000000" w:themeColor="text1"/>
          <w:lang w:val="en-US"/>
        </w:rPr>
        <w:t xml:space="preserve"> is often conducted through independent studies on the impact of exchange rate fluctuations and stock market volatility,</w:t>
      </w:r>
      <w:r w:rsidR="006A47A3" w:rsidRPr="007418EB">
        <w:rPr>
          <w:rFonts w:ascii="Times New Roman" w:eastAsia="Times New Roman" w:hAnsi="Times New Roman" w:cs="Times New Roman"/>
          <w:color w:val="000000" w:themeColor="text1"/>
          <w:lang w:val="en-US"/>
        </w:rPr>
        <w:t xml:space="preserve"> such as Chkili et al. (2011)</w:t>
      </w:r>
      <w:r w:rsidRPr="007418EB">
        <w:rPr>
          <w:rFonts w:ascii="Times New Roman" w:eastAsia="Times New Roman" w:hAnsi="Times New Roman" w:cs="Times New Roman"/>
          <w:color w:val="000000" w:themeColor="text1"/>
          <w:lang w:val="en-US"/>
        </w:rPr>
        <w:t xml:space="preserve"> in four emerging markets (Hong Kong, Singapore, Malaysia and Mexico) in the period 1994-2009; Chortareas et al. (2012) in Egypt, Morocco and Turkey from 2001 to 2003; Wang et al. (2013) in China market in the period of 2005-2010; Sensoy and Sobaki (2014) in Turkey 2003-2013; Chkili and Nguyen (2014) in BRICS countries from 1997 to 2013; Nguyen Thi Lien Hoa and Le Thi Thuy Huong (2014) in ASEAN countries from 2005-2013. The studies have found empirical evidence on the relationship between exchange rate fluctuations and stock return rates in a market perspective, especially the nonlinear relationship.</w:t>
      </w:r>
    </w:p>
    <w:p w:rsidR="00CB1844" w:rsidRPr="007418EB" w:rsidRDefault="00CB1844"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color w:val="000000" w:themeColor="text1"/>
          <w:lang w:val="en-US"/>
        </w:rPr>
        <w:lastRenderedPageBreak/>
        <w:t>Particularly in Vietnam market, the link between the foreign exchange market and the stock market was also identified through the research of Tran Ngoc Tho and Ho Thi Lam (2015).</w:t>
      </w:r>
    </w:p>
    <w:p w:rsidR="00CB1844" w:rsidRPr="007418EB" w:rsidRDefault="00CB1844"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color w:val="000000" w:themeColor="text1"/>
          <w:lang w:val="en-US"/>
        </w:rPr>
        <w:t>General studies conducted at both the market and corporate levels in many countries are still not much focused on the period before the global financial crisis of 2008 such as those of and Hutson and O</w:t>
      </w:r>
      <w:r w:rsidR="00B1684C" w:rsidRPr="007418EB">
        <w:rPr>
          <w:rFonts w:ascii="Times New Roman" w:eastAsia="Times New Roman" w:hAnsi="Times New Roman" w:cs="Times New Roman"/>
          <w:color w:val="000000" w:themeColor="text1"/>
          <w:lang w:val="en-US"/>
        </w:rPr>
        <w:t>’</w:t>
      </w:r>
      <w:r w:rsidRPr="007418EB">
        <w:rPr>
          <w:rFonts w:ascii="Times New Roman" w:eastAsia="Times New Roman" w:hAnsi="Times New Roman" w:cs="Times New Roman"/>
          <w:color w:val="000000" w:themeColor="text1"/>
          <w:lang w:val="en-US"/>
        </w:rPr>
        <w:t>Driscoll. (2010), Lin (2011).</w:t>
      </w:r>
    </w:p>
    <w:p w:rsidR="00CB1844" w:rsidRPr="007418EB" w:rsidRDefault="00CB1844"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b/>
          <w:bCs/>
          <w:color w:val="000000" w:themeColor="text1"/>
          <w:lang w:val="en-US"/>
        </w:rPr>
        <w:t>CHAPTER 3. RESEARCH METHODOLOGY</w:t>
      </w:r>
    </w:p>
    <w:p w:rsidR="00CB1844" w:rsidRPr="007418EB" w:rsidRDefault="00CB1844"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b/>
          <w:bCs/>
          <w:color w:val="000000" w:themeColor="text1"/>
          <w:lang w:val="en-US"/>
        </w:rPr>
        <w:t>3.1 Data</w:t>
      </w:r>
    </w:p>
    <w:p w:rsidR="00CB1844" w:rsidRPr="007418EB" w:rsidRDefault="00CB1844"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b/>
          <w:bCs/>
          <w:color w:val="000000" w:themeColor="text1"/>
          <w:lang w:val="en-US"/>
        </w:rPr>
        <w:t>3.1.1 </w:t>
      </w:r>
      <w:r w:rsidR="004A70D6" w:rsidRPr="007418EB">
        <w:rPr>
          <w:rFonts w:ascii="Times New Roman" w:eastAsia="Times New Roman" w:hAnsi="Times New Roman" w:cs="Times New Roman"/>
          <w:b/>
          <w:bCs/>
          <w:color w:val="000000" w:themeColor="text1"/>
          <w:lang w:val="en-US"/>
        </w:rPr>
        <w:t>Exchange rate exposure</w:t>
      </w:r>
      <w:r w:rsidRPr="007418EB">
        <w:rPr>
          <w:rFonts w:ascii="Times New Roman" w:eastAsia="Times New Roman" w:hAnsi="Times New Roman" w:cs="Times New Roman"/>
          <w:b/>
          <w:bCs/>
          <w:color w:val="000000" w:themeColor="text1"/>
          <w:lang w:val="en-US"/>
        </w:rPr>
        <w:t xml:space="preserve"> at the market level</w:t>
      </w:r>
    </w:p>
    <w:p w:rsidR="00CB1844" w:rsidRPr="007418EB" w:rsidRDefault="00CB1844"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color w:val="000000" w:themeColor="text1"/>
          <w:lang w:val="en-US"/>
        </w:rPr>
        <w:t>The six Southeast Asian countries in the sample include Indonesia, Malaysia, Philippines, Singapore, Thailand and Vietnam.</w:t>
      </w:r>
    </w:p>
    <w:p w:rsidR="00CB1844" w:rsidRPr="007418EB" w:rsidRDefault="00CB1844"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color w:val="000000" w:themeColor="text1"/>
          <w:lang w:val="en-US"/>
        </w:rPr>
        <w:t xml:space="preserve">The nominal exchange rate according </w:t>
      </w:r>
      <w:r w:rsidR="003126DA" w:rsidRPr="007418EB">
        <w:rPr>
          <w:rFonts w:ascii="Times New Roman" w:eastAsia="Times New Roman" w:hAnsi="Times New Roman" w:cs="Times New Roman"/>
          <w:color w:val="000000" w:themeColor="text1"/>
          <w:lang w:val="en-US"/>
        </w:rPr>
        <w:t>to the direct quoted price (USD/</w:t>
      </w:r>
      <w:r w:rsidRPr="007418EB">
        <w:rPr>
          <w:rFonts w:ascii="Times New Roman" w:eastAsia="Times New Roman" w:hAnsi="Times New Roman" w:cs="Times New Roman"/>
          <w:color w:val="000000" w:themeColor="text1"/>
          <w:lang w:val="en-US"/>
        </w:rPr>
        <w:t>local currency) and the consumer price index (Consummer price index (CPI) (base year 2010) of each country are co</w:t>
      </w:r>
      <w:r w:rsidR="003126DA" w:rsidRPr="007418EB">
        <w:rPr>
          <w:rFonts w:ascii="Times New Roman" w:eastAsia="Times New Roman" w:hAnsi="Times New Roman" w:cs="Times New Roman"/>
          <w:color w:val="000000" w:themeColor="text1"/>
          <w:lang w:val="en-US"/>
        </w:rPr>
        <w:t>llected from the IFS database (</w:t>
      </w:r>
      <w:r w:rsidRPr="007418EB">
        <w:rPr>
          <w:rFonts w:ascii="Times New Roman" w:eastAsia="Times New Roman" w:hAnsi="Times New Roman" w:cs="Times New Roman"/>
          <w:color w:val="000000" w:themeColor="text1"/>
          <w:lang w:val="en-US"/>
        </w:rPr>
        <w:t>International Financial Statistics of the International Monetary Fund (IMF). The stock market index of countries, the MSCI ACWI (Morgan Stanley Capital International - All Country World Index) is a measure of the world market return from the Thomson Reuters Datastream database. Data for the variables used in the study were collected monthly fro</w:t>
      </w:r>
      <w:r w:rsidR="003126DA" w:rsidRPr="007418EB">
        <w:rPr>
          <w:rFonts w:ascii="Times New Roman" w:eastAsia="Times New Roman" w:hAnsi="Times New Roman" w:cs="Times New Roman"/>
          <w:color w:val="000000" w:themeColor="text1"/>
          <w:lang w:val="en-US"/>
        </w:rPr>
        <w:t>m January 2010 to December 2017</w:t>
      </w:r>
      <w:r w:rsidRPr="007418EB">
        <w:rPr>
          <w:rFonts w:ascii="Times New Roman" w:eastAsia="Times New Roman" w:hAnsi="Times New Roman" w:cs="Times New Roman"/>
          <w:color w:val="000000" w:themeColor="text1"/>
          <w:lang w:val="en-US"/>
        </w:rPr>
        <w:t>.</w:t>
      </w:r>
    </w:p>
    <w:p w:rsidR="00CB1844" w:rsidRPr="007418EB" w:rsidRDefault="00CB1844"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b/>
          <w:bCs/>
          <w:color w:val="000000" w:themeColor="text1"/>
          <w:lang w:val="en-US"/>
        </w:rPr>
        <w:t>3.1.2 </w:t>
      </w:r>
      <w:r w:rsidR="004A70D6" w:rsidRPr="007418EB">
        <w:rPr>
          <w:rFonts w:ascii="Times New Roman" w:eastAsia="Times New Roman" w:hAnsi="Times New Roman" w:cs="Times New Roman"/>
          <w:b/>
          <w:bCs/>
          <w:color w:val="000000" w:themeColor="text1"/>
          <w:lang w:val="en-US"/>
        </w:rPr>
        <w:t>Exchange rate exposure</w:t>
      </w:r>
      <w:r w:rsidRPr="007418EB">
        <w:rPr>
          <w:rFonts w:ascii="Times New Roman" w:eastAsia="Times New Roman" w:hAnsi="Times New Roman" w:cs="Times New Roman"/>
          <w:b/>
          <w:bCs/>
          <w:color w:val="000000" w:themeColor="text1"/>
          <w:lang w:val="en-US"/>
        </w:rPr>
        <w:t xml:space="preserve"> at the firm level</w:t>
      </w:r>
    </w:p>
    <w:p w:rsidR="00CB1844" w:rsidRPr="007418EB" w:rsidRDefault="00CB1844"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color w:val="000000" w:themeColor="text1"/>
          <w:lang w:val="en-US"/>
        </w:rPr>
        <w:t>The study used companies listed on the stock markets of six countries Indonesia, Malaysia, Philippines, Singapore, Thailand and Vietnam. Companies are classified according to GICS (Global Industry Classification Standard). </w:t>
      </w:r>
      <w:r w:rsidR="00904EB4" w:rsidRPr="007418EB">
        <w:rPr>
          <w:rFonts w:ascii="Times New Roman" w:eastAsia="Times New Roman" w:hAnsi="Times New Roman" w:cs="Times New Roman"/>
          <w:color w:val="000000" w:themeColor="text1"/>
          <w:lang w:val="en-US"/>
        </w:rPr>
        <w:t>T</w:t>
      </w:r>
      <w:r w:rsidRPr="007418EB">
        <w:rPr>
          <w:rFonts w:ascii="Times New Roman" w:eastAsia="Times New Roman" w:hAnsi="Times New Roman" w:cs="Times New Roman"/>
          <w:color w:val="000000" w:themeColor="text1"/>
          <w:lang w:val="en-US"/>
        </w:rPr>
        <w:t>he final sample is a data of 2,166 companies.</w:t>
      </w:r>
    </w:p>
    <w:p w:rsidR="00CB1844" w:rsidRPr="007418EB" w:rsidRDefault="00CB1844"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b/>
          <w:bCs/>
          <w:color w:val="000000" w:themeColor="text1"/>
          <w:lang w:val="en-US"/>
        </w:rPr>
        <w:t>3.2 Experimental research model</w:t>
      </w:r>
    </w:p>
    <w:p w:rsidR="00CB1844" w:rsidRPr="007418EB" w:rsidRDefault="00CB1844"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b/>
          <w:bCs/>
          <w:color w:val="000000" w:themeColor="text1"/>
          <w:lang w:val="en-US"/>
        </w:rPr>
        <w:lastRenderedPageBreak/>
        <w:t xml:space="preserve">3.2.1 Market-level </w:t>
      </w:r>
      <w:r w:rsidR="003A3C9A" w:rsidRPr="007418EB">
        <w:rPr>
          <w:rFonts w:ascii="Times New Roman" w:eastAsia="Times New Roman" w:hAnsi="Times New Roman" w:cs="Times New Roman"/>
          <w:b/>
          <w:bCs/>
          <w:color w:val="000000" w:themeColor="text1"/>
          <w:lang w:val="en-US"/>
        </w:rPr>
        <w:t>exchange rate exposure</w:t>
      </w:r>
    </w:p>
    <w:p w:rsidR="00CB1844" w:rsidRPr="007418EB" w:rsidRDefault="00CB1844"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color w:val="000000" w:themeColor="text1"/>
          <w:lang w:val="en-US"/>
        </w:rPr>
        <w:t xml:space="preserve">The standard model of Jorion (1990) is improved to test the </w:t>
      </w:r>
      <w:r w:rsidR="003A3C9A" w:rsidRPr="007418EB">
        <w:rPr>
          <w:rFonts w:ascii="Times New Roman" w:eastAsia="Times New Roman" w:hAnsi="Times New Roman" w:cs="Times New Roman"/>
          <w:color w:val="000000" w:themeColor="text1"/>
          <w:lang w:val="en-US"/>
        </w:rPr>
        <w:t>exchange rate exposure</w:t>
      </w:r>
      <w:r w:rsidRPr="007418EB">
        <w:rPr>
          <w:rFonts w:ascii="Times New Roman" w:eastAsia="Times New Roman" w:hAnsi="Times New Roman" w:cs="Times New Roman"/>
          <w:color w:val="000000" w:themeColor="text1"/>
          <w:lang w:val="en-US"/>
        </w:rPr>
        <w:t xml:space="preserve"> in Southeast Asian markets through the following equations:</w:t>
      </w:r>
    </w:p>
    <w:p w:rsidR="003126DA" w:rsidRPr="007418EB" w:rsidRDefault="003126DA" w:rsidP="003126DA">
      <w:pPr>
        <w:tabs>
          <w:tab w:val="left" w:pos="8222"/>
        </w:tabs>
        <w:spacing w:after="0" w:line="340" w:lineRule="exact"/>
        <w:jc w:val="both"/>
        <w:rPr>
          <w:rFonts w:ascii="Times New Roman" w:hAnsi="Times New Roman" w:cs="Times New Roman"/>
          <w:color w:val="000000" w:themeColor="text1"/>
          <w:szCs w:val="26"/>
        </w:rPr>
      </w:pPr>
      <w:r w:rsidRPr="007418EB">
        <w:rPr>
          <w:rFonts w:ascii="Times New Roman" w:hAnsi="Times New Roman" w:cs="Times New Roman"/>
          <w:color w:val="000000" w:themeColor="text1"/>
          <w:szCs w:val="26"/>
        </w:rPr>
        <w:t>INDEX</w:t>
      </w:r>
      <w:r w:rsidRPr="007418EB">
        <w:rPr>
          <w:rFonts w:ascii="Times New Roman" w:hAnsi="Times New Roman" w:cs="Times New Roman"/>
          <w:color w:val="000000" w:themeColor="text1"/>
          <w:szCs w:val="26"/>
          <w:vertAlign w:val="subscript"/>
        </w:rPr>
        <w:t>i,t</w:t>
      </w:r>
      <w:r w:rsidRPr="007418EB">
        <w:rPr>
          <w:rFonts w:ascii="Times New Roman" w:hAnsi="Times New Roman" w:cs="Times New Roman"/>
          <w:color w:val="000000" w:themeColor="text1"/>
          <w:szCs w:val="26"/>
        </w:rPr>
        <w:t xml:space="preserve"> = β</w:t>
      </w:r>
      <w:r w:rsidRPr="007418EB">
        <w:rPr>
          <w:rFonts w:ascii="Times New Roman" w:hAnsi="Times New Roman" w:cs="Times New Roman"/>
          <w:color w:val="000000" w:themeColor="text1"/>
          <w:szCs w:val="26"/>
          <w:vertAlign w:val="subscript"/>
        </w:rPr>
        <w:t>0</w:t>
      </w:r>
      <w:r w:rsidRPr="007418EB">
        <w:rPr>
          <w:rFonts w:ascii="Times New Roman" w:hAnsi="Times New Roman" w:cs="Times New Roman"/>
          <w:color w:val="000000" w:themeColor="text1"/>
          <w:szCs w:val="26"/>
        </w:rPr>
        <w:t xml:space="preserve"> + β</w:t>
      </w:r>
      <w:r w:rsidRPr="007418EB">
        <w:rPr>
          <w:rFonts w:ascii="Times New Roman" w:hAnsi="Times New Roman" w:cs="Times New Roman"/>
          <w:color w:val="000000" w:themeColor="text1"/>
          <w:szCs w:val="26"/>
          <w:vertAlign w:val="subscript"/>
        </w:rPr>
        <w:t>1</w:t>
      </w:r>
      <w:r w:rsidRPr="007418EB">
        <w:rPr>
          <w:rFonts w:ascii="Times New Roman" w:hAnsi="Times New Roman" w:cs="Times New Roman"/>
          <w:color w:val="000000" w:themeColor="text1"/>
          <w:szCs w:val="26"/>
        </w:rPr>
        <w:t>MSCIACWI</w:t>
      </w:r>
      <w:r w:rsidRPr="007418EB">
        <w:rPr>
          <w:rFonts w:ascii="Times New Roman" w:hAnsi="Times New Roman" w:cs="Times New Roman"/>
          <w:color w:val="000000" w:themeColor="text1"/>
          <w:szCs w:val="26"/>
          <w:vertAlign w:val="subscript"/>
        </w:rPr>
        <w:t>t</w:t>
      </w:r>
      <w:r w:rsidRPr="007418EB">
        <w:rPr>
          <w:rFonts w:ascii="Times New Roman" w:hAnsi="Times New Roman" w:cs="Times New Roman"/>
          <w:color w:val="000000" w:themeColor="text1"/>
          <w:szCs w:val="26"/>
        </w:rPr>
        <w:t xml:space="preserve"> + β</w:t>
      </w:r>
      <w:r w:rsidRPr="007418EB">
        <w:rPr>
          <w:rFonts w:ascii="Times New Roman" w:hAnsi="Times New Roman" w:cs="Times New Roman"/>
          <w:color w:val="000000" w:themeColor="text1"/>
          <w:szCs w:val="26"/>
          <w:vertAlign w:val="subscript"/>
        </w:rPr>
        <w:t>2</w:t>
      </w:r>
      <w:r w:rsidRPr="007418EB">
        <w:rPr>
          <w:rFonts w:ascii="Times New Roman" w:hAnsi="Times New Roman" w:cs="Times New Roman"/>
          <w:color w:val="000000" w:themeColor="text1"/>
          <w:szCs w:val="26"/>
        </w:rPr>
        <w:t>NER</w:t>
      </w:r>
      <w:r w:rsidRPr="007418EB">
        <w:rPr>
          <w:rFonts w:ascii="Times New Roman" w:hAnsi="Times New Roman" w:cs="Times New Roman"/>
          <w:color w:val="000000" w:themeColor="text1"/>
          <w:szCs w:val="26"/>
          <w:vertAlign w:val="subscript"/>
        </w:rPr>
        <w:t>i,t</w:t>
      </w:r>
      <w:r w:rsidRPr="007418EB">
        <w:rPr>
          <w:rFonts w:ascii="Times New Roman" w:hAnsi="Times New Roman" w:cs="Times New Roman"/>
          <w:color w:val="000000" w:themeColor="text1"/>
          <w:szCs w:val="26"/>
        </w:rPr>
        <w:t xml:space="preserve"> + β</w:t>
      </w:r>
      <w:r w:rsidRPr="007418EB">
        <w:rPr>
          <w:rFonts w:ascii="Times New Roman" w:hAnsi="Times New Roman" w:cs="Times New Roman"/>
          <w:color w:val="000000" w:themeColor="text1"/>
          <w:szCs w:val="26"/>
          <w:vertAlign w:val="subscript"/>
        </w:rPr>
        <w:t>3</w:t>
      </w:r>
      <w:r w:rsidRPr="007418EB">
        <w:rPr>
          <w:rFonts w:ascii="Times New Roman" w:hAnsi="Times New Roman" w:cs="Times New Roman"/>
          <w:color w:val="000000" w:themeColor="text1"/>
          <w:szCs w:val="26"/>
        </w:rPr>
        <w:t>D</w:t>
      </w:r>
      <w:r w:rsidRPr="007418EB">
        <w:rPr>
          <w:rFonts w:ascii="Times New Roman" w:hAnsi="Times New Roman" w:cs="Times New Roman"/>
          <w:color w:val="000000" w:themeColor="text1"/>
          <w:szCs w:val="26"/>
          <w:vertAlign w:val="subscript"/>
        </w:rPr>
        <w:t>i,t</w:t>
      </w:r>
      <w:r w:rsidRPr="007418EB">
        <w:rPr>
          <w:rFonts w:ascii="Times New Roman" w:hAnsi="Times New Roman" w:cs="Times New Roman"/>
          <w:color w:val="000000" w:themeColor="text1"/>
          <w:szCs w:val="26"/>
        </w:rPr>
        <w:t>*NER</w:t>
      </w:r>
      <w:r w:rsidRPr="007418EB">
        <w:rPr>
          <w:rFonts w:ascii="Times New Roman" w:hAnsi="Times New Roman" w:cs="Times New Roman"/>
          <w:color w:val="000000" w:themeColor="text1"/>
          <w:szCs w:val="26"/>
          <w:vertAlign w:val="subscript"/>
        </w:rPr>
        <w:t>i,t</w:t>
      </w:r>
      <w:r w:rsidRPr="007418EB">
        <w:rPr>
          <w:rFonts w:ascii="Times New Roman" w:hAnsi="Times New Roman" w:cs="Times New Roman"/>
          <w:color w:val="000000" w:themeColor="text1"/>
          <w:szCs w:val="26"/>
        </w:rPr>
        <w:t xml:space="preserve"> + ε</w:t>
      </w:r>
      <w:r w:rsidRPr="007418EB">
        <w:rPr>
          <w:rFonts w:ascii="Times New Roman" w:hAnsi="Times New Roman" w:cs="Times New Roman"/>
          <w:color w:val="000000" w:themeColor="text1"/>
          <w:szCs w:val="26"/>
          <w:vertAlign w:val="subscript"/>
        </w:rPr>
        <w:t xml:space="preserve">i,t </w:t>
      </w:r>
      <w:r w:rsidRPr="007418EB">
        <w:rPr>
          <w:rFonts w:ascii="Times New Roman" w:hAnsi="Times New Roman" w:cs="Times New Roman"/>
          <w:color w:val="000000" w:themeColor="text1"/>
          <w:szCs w:val="26"/>
        </w:rPr>
        <w:t>(3.4)</w:t>
      </w:r>
    </w:p>
    <w:p w:rsidR="003126DA" w:rsidRPr="007418EB" w:rsidRDefault="003126DA" w:rsidP="003126DA">
      <w:pPr>
        <w:tabs>
          <w:tab w:val="left" w:pos="8222"/>
        </w:tabs>
        <w:spacing w:after="0" w:line="340" w:lineRule="exact"/>
        <w:jc w:val="both"/>
        <w:rPr>
          <w:rFonts w:ascii="Times New Roman" w:hAnsi="Times New Roman" w:cs="Times New Roman"/>
          <w:color w:val="000000" w:themeColor="text1"/>
          <w:szCs w:val="26"/>
        </w:rPr>
      </w:pPr>
      <w:r w:rsidRPr="007418EB">
        <w:rPr>
          <w:rFonts w:ascii="Times New Roman" w:hAnsi="Times New Roman" w:cs="Times New Roman"/>
          <w:color w:val="000000" w:themeColor="text1"/>
          <w:szCs w:val="26"/>
        </w:rPr>
        <w:t>INDEX</w:t>
      </w:r>
      <w:r w:rsidRPr="007418EB">
        <w:rPr>
          <w:rFonts w:ascii="Times New Roman" w:hAnsi="Times New Roman" w:cs="Times New Roman"/>
          <w:color w:val="000000" w:themeColor="text1"/>
          <w:szCs w:val="26"/>
          <w:vertAlign w:val="subscript"/>
        </w:rPr>
        <w:t>i,t</w:t>
      </w:r>
      <w:r w:rsidRPr="007418EB">
        <w:rPr>
          <w:rFonts w:ascii="Times New Roman" w:hAnsi="Times New Roman" w:cs="Times New Roman"/>
          <w:color w:val="000000" w:themeColor="text1"/>
          <w:szCs w:val="26"/>
        </w:rPr>
        <w:t xml:space="preserve"> = β</w:t>
      </w:r>
      <w:r w:rsidRPr="007418EB">
        <w:rPr>
          <w:rFonts w:ascii="Times New Roman" w:hAnsi="Times New Roman" w:cs="Times New Roman"/>
          <w:color w:val="000000" w:themeColor="text1"/>
          <w:szCs w:val="26"/>
          <w:vertAlign w:val="subscript"/>
        </w:rPr>
        <w:t>0</w:t>
      </w:r>
      <w:r w:rsidRPr="007418EB">
        <w:rPr>
          <w:rFonts w:ascii="Times New Roman" w:hAnsi="Times New Roman" w:cs="Times New Roman"/>
          <w:color w:val="000000" w:themeColor="text1"/>
          <w:szCs w:val="26"/>
        </w:rPr>
        <w:t xml:space="preserve"> + β</w:t>
      </w:r>
      <w:r w:rsidRPr="007418EB">
        <w:rPr>
          <w:rFonts w:ascii="Times New Roman" w:hAnsi="Times New Roman" w:cs="Times New Roman"/>
          <w:color w:val="000000" w:themeColor="text1"/>
          <w:szCs w:val="26"/>
          <w:vertAlign w:val="subscript"/>
        </w:rPr>
        <w:t>1</w:t>
      </w:r>
      <w:r w:rsidRPr="007418EB">
        <w:rPr>
          <w:rFonts w:ascii="Times New Roman" w:hAnsi="Times New Roman" w:cs="Times New Roman"/>
          <w:color w:val="000000" w:themeColor="text1"/>
          <w:szCs w:val="26"/>
        </w:rPr>
        <w:t>MSCIACWI</w:t>
      </w:r>
      <w:r w:rsidRPr="007418EB">
        <w:rPr>
          <w:rFonts w:ascii="Times New Roman" w:hAnsi="Times New Roman" w:cs="Times New Roman"/>
          <w:color w:val="000000" w:themeColor="text1"/>
          <w:szCs w:val="26"/>
          <w:vertAlign w:val="subscript"/>
        </w:rPr>
        <w:t>t</w:t>
      </w:r>
      <w:r w:rsidRPr="007418EB">
        <w:rPr>
          <w:rFonts w:ascii="Times New Roman" w:hAnsi="Times New Roman" w:cs="Times New Roman"/>
          <w:color w:val="000000" w:themeColor="text1"/>
          <w:szCs w:val="26"/>
        </w:rPr>
        <w:t xml:space="preserve"> + β</w:t>
      </w:r>
      <w:r w:rsidRPr="007418EB">
        <w:rPr>
          <w:rFonts w:ascii="Times New Roman" w:hAnsi="Times New Roman" w:cs="Times New Roman"/>
          <w:color w:val="000000" w:themeColor="text1"/>
          <w:szCs w:val="26"/>
          <w:vertAlign w:val="subscript"/>
        </w:rPr>
        <w:t>2</w:t>
      </w:r>
      <w:r w:rsidRPr="007418EB">
        <w:rPr>
          <w:rFonts w:ascii="Times New Roman" w:hAnsi="Times New Roman" w:cs="Times New Roman"/>
          <w:color w:val="000000" w:themeColor="text1"/>
          <w:szCs w:val="26"/>
        </w:rPr>
        <w:t>RER</w:t>
      </w:r>
      <w:r w:rsidRPr="007418EB">
        <w:rPr>
          <w:rFonts w:ascii="Times New Roman" w:hAnsi="Times New Roman" w:cs="Times New Roman"/>
          <w:color w:val="000000" w:themeColor="text1"/>
          <w:szCs w:val="26"/>
          <w:vertAlign w:val="subscript"/>
        </w:rPr>
        <w:t>i,t</w:t>
      </w:r>
      <w:r w:rsidRPr="007418EB">
        <w:rPr>
          <w:rFonts w:ascii="Times New Roman" w:hAnsi="Times New Roman" w:cs="Times New Roman"/>
          <w:color w:val="000000" w:themeColor="text1"/>
          <w:szCs w:val="26"/>
        </w:rPr>
        <w:t xml:space="preserve"> + β</w:t>
      </w:r>
      <w:r w:rsidRPr="007418EB">
        <w:rPr>
          <w:rFonts w:ascii="Times New Roman" w:hAnsi="Times New Roman" w:cs="Times New Roman"/>
          <w:color w:val="000000" w:themeColor="text1"/>
          <w:szCs w:val="26"/>
          <w:vertAlign w:val="subscript"/>
        </w:rPr>
        <w:t>3</w:t>
      </w:r>
      <w:r w:rsidRPr="007418EB">
        <w:rPr>
          <w:rFonts w:ascii="Times New Roman" w:hAnsi="Times New Roman" w:cs="Times New Roman"/>
          <w:color w:val="000000" w:themeColor="text1"/>
          <w:szCs w:val="26"/>
        </w:rPr>
        <w:t>D</w:t>
      </w:r>
      <w:r w:rsidRPr="007418EB">
        <w:rPr>
          <w:rFonts w:ascii="Times New Roman" w:hAnsi="Times New Roman" w:cs="Times New Roman"/>
          <w:color w:val="000000" w:themeColor="text1"/>
          <w:szCs w:val="26"/>
          <w:vertAlign w:val="subscript"/>
        </w:rPr>
        <w:t>i,t</w:t>
      </w:r>
      <w:r w:rsidRPr="007418EB">
        <w:rPr>
          <w:rFonts w:ascii="Times New Roman" w:hAnsi="Times New Roman" w:cs="Times New Roman"/>
          <w:color w:val="000000" w:themeColor="text1"/>
          <w:szCs w:val="26"/>
        </w:rPr>
        <w:t>*RER</w:t>
      </w:r>
      <w:r w:rsidRPr="007418EB">
        <w:rPr>
          <w:rFonts w:ascii="Times New Roman" w:hAnsi="Times New Roman" w:cs="Times New Roman"/>
          <w:color w:val="000000" w:themeColor="text1"/>
          <w:szCs w:val="26"/>
          <w:vertAlign w:val="subscript"/>
        </w:rPr>
        <w:t>i,t</w:t>
      </w:r>
      <w:r w:rsidRPr="007418EB">
        <w:rPr>
          <w:rFonts w:ascii="Times New Roman" w:hAnsi="Times New Roman" w:cs="Times New Roman"/>
          <w:color w:val="000000" w:themeColor="text1"/>
          <w:szCs w:val="26"/>
        </w:rPr>
        <w:t xml:space="preserve"> + ε</w:t>
      </w:r>
      <w:r w:rsidRPr="007418EB">
        <w:rPr>
          <w:rFonts w:ascii="Times New Roman" w:hAnsi="Times New Roman" w:cs="Times New Roman"/>
          <w:color w:val="000000" w:themeColor="text1"/>
          <w:szCs w:val="26"/>
          <w:vertAlign w:val="subscript"/>
        </w:rPr>
        <w:t xml:space="preserve">i,t </w:t>
      </w:r>
      <w:r w:rsidRPr="007418EB">
        <w:rPr>
          <w:rFonts w:ascii="Times New Roman" w:hAnsi="Times New Roman" w:cs="Times New Roman"/>
          <w:color w:val="000000" w:themeColor="text1"/>
          <w:szCs w:val="26"/>
        </w:rPr>
        <w:t>(3.5)</w:t>
      </w:r>
    </w:p>
    <w:p w:rsidR="00CB1844" w:rsidRPr="007418EB" w:rsidRDefault="00CB1844"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b/>
          <w:bCs/>
          <w:color w:val="000000" w:themeColor="text1"/>
          <w:lang w:val="en-US"/>
        </w:rPr>
        <w:t xml:space="preserve">3.2.2 Company-level </w:t>
      </w:r>
      <w:r w:rsidR="003A3C9A" w:rsidRPr="007418EB">
        <w:rPr>
          <w:rFonts w:ascii="Times New Roman" w:eastAsia="Times New Roman" w:hAnsi="Times New Roman" w:cs="Times New Roman"/>
          <w:b/>
          <w:bCs/>
          <w:color w:val="000000" w:themeColor="text1"/>
          <w:lang w:val="en-US"/>
        </w:rPr>
        <w:t>exchange rate exposure</w:t>
      </w:r>
    </w:p>
    <w:p w:rsidR="00CB1844" w:rsidRPr="007418EB" w:rsidRDefault="00CB1844"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color w:val="000000" w:themeColor="text1"/>
          <w:lang w:val="en-US"/>
        </w:rPr>
        <w:t xml:space="preserve">Based on the research of Ye et al (2014), Al-Shboul and Anwar (2014), Chou et al (2017), </w:t>
      </w:r>
      <w:r w:rsidR="003126DA" w:rsidRPr="007418EB">
        <w:rPr>
          <w:rFonts w:ascii="Times New Roman" w:eastAsia="Times New Roman" w:hAnsi="Times New Roman" w:cs="Times New Roman"/>
          <w:color w:val="000000" w:themeColor="text1"/>
          <w:lang w:val="en-US"/>
        </w:rPr>
        <w:t xml:space="preserve">Bae et al (2018) apply GARCH (1,1) model, </w:t>
      </w:r>
      <w:r w:rsidRPr="007418EB">
        <w:rPr>
          <w:rFonts w:ascii="Times New Roman" w:eastAsia="Times New Roman" w:hAnsi="Times New Roman" w:cs="Times New Roman"/>
          <w:color w:val="000000" w:themeColor="text1"/>
          <w:lang w:val="en-US"/>
        </w:rPr>
        <w:t>as follows:</w:t>
      </w:r>
    </w:p>
    <w:bookmarkStart w:id="11" w:name="_Toc24281232"/>
    <w:p w:rsidR="003126DA" w:rsidRPr="007418EB" w:rsidRDefault="00CA00E1" w:rsidP="003126DA">
      <w:pPr>
        <w:pStyle w:val="ListParagraph"/>
        <w:tabs>
          <w:tab w:val="right" w:pos="9027"/>
        </w:tabs>
        <w:spacing w:line="340" w:lineRule="exact"/>
        <w:ind w:left="709"/>
        <w:contextualSpacing w:val="0"/>
        <w:jc w:val="both"/>
        <w:rPr>
          <w:color w:val="000000" w:themeColor="text1"/>
          <w:sz w:val="22"/>
          <w:szCs w:val="26"/>
        </w:rPr>
      </w:pPr>
      <m:oMath>
        <m:sSub>
          <m:sSubPr>
            <m:ctrlPr>
              <w:rPr>
                <w:rFonts w:ascii="Cambria Math" w:hAnsi="Cambria Math"/>
                <w:i/>
                <w:color w:val="000000" w:themeColor="text1"/>
                <w:sz w:val="22"/>
                <w:szCs w:val="26"/>
                <w:vertAlign w:val="subscript"/>
              </w:rPr>
            </m:ctrlPr>
          </m:sSubPr>
          <m:e>
            <m:r>
              <w:rPr>
                <w:rFonts w:ascii="Cambria Math" w:hAnsi="Cambria Math"/>
                <w:color w:val="000000" w:themeColor="text1"/>
                <w:sz w:val="22"/>
                <w:szCs w:val="26"/>
                <w:vertAlign w:val="subscript"/>
              </w:rPr>
              <m:t>R</m:t>
            </m:r>
          </m:e>
          <m:sub>
            <m:r>
              <w:rPr>
                <w:rFonts w:ascii="Cambria Math" w:hAnsi="Cambria Math"/>
                <w:color w:val="000000" w:themeColor="text1"/>
                <w:sz w:val="22"/>
                <w:szCs w:val="26"/>
                <w:vertAlign w:val="subscript"/>
              </w:rPr>
              <m:t>i,t</m:t>
            </m:r>
          </m:sub>
        </m:sSub>
        <m:r>
          <w:rPr>
            <w:rFonts w:ascii="Cambria Math" w:hAnsi="Cambria Math"/>
            <w:color w:val="000000" w:themeColor="text1"/>
            <w:sz w:val="22"/>
            <w:szCs w:val="26"/>
            <w:vertAlign w:val="subscript"/>
          </w:rPr>
          <m:t>=</m:t>
        </m:r>
        <m:sSub>
          <m:sSubPr>
            <m:ctrlPr>
              <w:rPr>
                <w:rFonts w:ascii="Cambria Math" w:hAnsi="Cambria Math"/>
                <w:i/>
                <w:color w:val="000000" w:themeColor="text1"/>
                <w:sz w:val="22"/>
                <w:szCs w:val="26"/>
                <w:vertAlign w:val="subscript"/>
              </w:rPr>
            </m:ctrlPr>
          </m:sSubPr>
          <m:e>
            <m:r>
              <w:rPr>
                <w:rFonts w:ascii="Cambria Math" w:hAnsi="Cambria Math"/>
                <w:color w:val="000000" w:themeColor="text1"/>
                <w:sz w:val="22"/>
                <w:szCs w:val="26"/>
                <w:vertAlign w:val="subscript"/>
              </w:rPr>
              <m:t>β</m:t>
            </m:r>
          </m:e>
          <m:sub>
            <m:r>
              <w:rPr>
                <w:rFonts w:ascii="Cambria Math" w:hAnsi="Cambria Math"/>
                <w:color w:val="000000" w:themeColor="text1"/>
                <w:sz w:val="22"/>
                <w:szCs w:val="26"/>
                <w:vertAlign w:val="subscript"/>
              </w:rPr>
              <m:t>i,0</m:t>
            </m:r>
          </m:sub>
        </m:sSub>
        <m:r>
          <w:rPr>
            <w:rFonts w:ascii="Cambria Math" w:hAnsi="Cambria Math"/>
            <w:color w:val="000000" w:themeColor="text1"/>
            <w:sz w:val="22"/>
            <w:szCs w:val="26"/>
            <w:vertAlign w:val="subscript"/>
          </w:rPr>
          <m:t>+</m:t>
        </m:r>
        <m:sSub>
          <m:sSubPr>
            <m:ctrlPr>
              <w:rPr>
                <w:rFonts w:ascii="Cambria Math" w:hAnsi="Cambria Math"/>
                <w:i/>
                <w:color w:val="000000" w:themeColor="text1"/>
                <w:sz w:val="22"/>
                <w:szCs w:val="26"/>
                <w:vertAlign w:val="subscript"/>
              </w:rPr>
            </m:ctrlPr>
          </m:sSubPr>
          <m:e>
            <m:r>
              <w:rPr>
                <w:rFonts w:ascii="Cambria Math" w:hAnsi="Cambria Math"/>
                <w:color w:val="000000" w:themeColor="text1"/>
                <w:sz w:val="22"/>
                <w:szCs w:val="26"/>
                <w:vertAlign w:val="subscript"/>
              </w:rPr>
              <m:t>β</m:t>
            </m:r>
          </m:e>
          <m:sub>
            <m:r>
              <w:rPr>
                <w:rFonts w:ascii="Cambria Math" w:hAnsi="Cambria Math"/>
                <w:color w:val="000000" w:themeColor="text1"/>
                <w:sz w:val="22"/>
                <w:szCs w:val="26"/>
                <w:vertAlign w:val="subscript"/>
              </w:rPr>
              <m:t>i,1</m:t>
            </m:r>
          </m:sub>
        </m:sSub>
        <m:sSub>
          <m:sSubPr>
            <m:ctrlPr>
              <w:rPr>
                <w:rFonts w:ascii="Cambria Math" w:hAnsi="Cambria Math"/>
                <w:i/>
                <w:color w:val="000000" w:themeColor="text1"/>
                <w:sz w:val="22"/>
                <w:szCs w:val="26"/>
                <w:vertAlign w:val="subscript"/>
              </w:rPr>
            </m:ctrlPr>
          </m:sSubPr>
          <m:e>
            <m:r>
              <w:rPr>
                <w:rFonts w:ascii="Cambria Math" w:hAnsi="Cambria Math"/>
                <w:color w:val="000000" w:themeColor="text1"/>
                <w:sz w:val="22"/>
                <w:szCs w:val="26"/>
                <w:vertAlign w:val="subscript"/>
              </w:rPr>
              <m:t>μ</m:t>
            </m:r>
          </m:e>
          <m:sub>
            <m:r>
              <w:rPr>
                <w:rFonts w:ascii="Cambria Math" w:hAnsi="Cambria Math"/>
                <w:color w:val="000000" w:themeColor="text1"/>
                <w:sz w:val="22"/>
                <w:szCs w:val="26"/>
                <w:vertAlign w:val="subscript"/>
              </w:rPr>
              <m:t>m,t</m:t>
            </m:r>
          </m:sub>
        </m:sSub>
        <m:r>
          <w:rPr>
            <w:rFonts w:ascii="Cambria Math" w:hAnsi="Cambria Math"/>
            <w:color w:val="000000" w:themeColor="text1"/>
            <w:sz w:val="22"/>
            <w:szCs w:val="26"/>
            <w:vertAlign w:val="subscript"/>
          </w:rPr>
          <m:t>+</m:t>
        </m:r>
        <m:sSub>
          <m:sSubPr>
            <m:ctrlPr>
              <w:rPr>
                <w:rFonts w:ascii="Cambria Math" w:hAnsi="Cambria Math"/>
                <w:i/>
                <w:color w:val="000000" w:themeColor="text1"/>
                <w:sz w:val="22"/>
                <w:szCs w:val="26"/>
                <w:vertAlign w:val="subscript"/>
              </w:rPr>
            </m:ctrlPr>
          </m:sSubPr>
          <m:e>
            <m:r>
              <w:rPr>
                <w:rFonts w:ascii="Cambria Math" w:hAnsi="Cambria Math"/>
                <w:color w:val="000000" w:themeColor="text1"/>
                <w:sz w:val="22"/>
                <w:szCs w:val="26"/>
                <w:vertAlign w:val="subscript"/>
              </w:rPr>
              <m:t>β</m:t>
            </m:r>
          </m:e>
          <m:sub>
            <m:r>
              <w:rPr>
                <w:rFonts w:ascii="Cambria Math" w:hAnsi="Cambria Math"/>
                <w:color w:val="000000" w:themeColor="text1"/>
                <w:sz w:val="22"/>
                <w:szCs w:val="26"/>
                <w:vertAlign w:val="subscript"/>
              </w:rPr>
              <m:t>i,2</m:t>
            </m:r>
          </m:sub>
        </m:sSub>
        <m:sSub>
          <m:sSubPr>
            <m:ctrlPr>
              <w:rPr>
                <w:rFonts w:ascii="Cambria Math" w:hAnsi="Cambria Math"/>
                <w:i/>
                <w:color w:val="000000" w:themeColor="text1"/>
                <w:sz w:val="22"/>
                <w:szCs w:val="26"/>
                <w:vertAlign w:val="subscript"/>
              </w:rPr>
            </m:ctrlPr>
          </m:sSubPr>
          <m:e>
            <m:r>
              <w:rPr>
                <w:rFonts w:ascii="Cambria Math" w:hAnsi="Cambria Math"/>
                <w:color w:val="000000" w:themeColor="text1"/>
                <w:sz w:val="22"/>
                <w:szCs w:val="26"/>
                <w:vertAlign w:val="subscript"/>
              </w:rPr>
              <m:t>X</m:t>
            </m:r>
          </m:e>
          <m:sub>
            <m:r>
              <w:rPr>
                <w:rFonts w:ascii="Cambria Math" w:hAnsi="Cambria Math"/>
                <w:color w:val="000000" w:themeColor="text1"/>
                <w:sz w:val="22"/>
                <w:szCs w:val="26"/>
                <w:vertAlign w:val="subscript"/>
              </w:rPr>
              <m:t>t</m:t>
            </m:r>
          </m:sub>
        </m:sSub>
        <m:r>
          <w:rPr>
            <w:rFonts w:ascii="Cambria Math" w:hAnsi="Cambria Math"/>
            <w:color w:val="000000" w:themeColor="text1"/>
            <w:sz w:val="22"/>
            <w:szCs w:val="26"/>
            <w:vertAlign w:val="subscript"/>
          </w:rPr>
          <m:t>+</m:t>
        </m:r>
        <m:sSub>
          <m:sSubPr>
            <m:ctrlPr>
              <w:rPr>
                <w:rFonts w:ascii="Cambria Math" w:hAnsi="Cambria Math"/>
                <w:i/>
                <w:color w:val="000000" w:themeColor="text1"/>
                <w:sz w:val="22"/>
                <w:szCs w:val="26"/>
                <w:vertAlign w:val="subscript"/>
              </w:rPr>
            </m:ctrlPr>
          </m:sSubPr>
          <m:e>
            <m:r>
              <w:rPr>
                <w:rFonts w:ascii="Cambria Math" w:hAnsi="Cambria Math"/>
                <w:color w:val="000000" w:themeColor="text1"/>
                <w:sz w:val="22"/>
                <w:szCs w:val="26"/>
                <w:vertAlign w:val="subscript"/>
              </w:rPr>
              <m:t>β</m:t>
            </m:r>
          </m:e>
          <m:sub>
            <m:r>
              <w:rPr>
                <w:rFonts w:ascii="Cambria Math" w:hAnsi="Cambria Math"/>
                <w:color w:val="000000" w:themeColor="text1"/>
                <w:sz w:val="22"/>
                <w:szCs w:val="26"/>
                <w:vertAlign w:val="subscript"/>
              </w:rPr>
              <m:t>i,3</m:t>
            </m:r>
          </m:sub>
        </m:sSub>
        <m:sSub>
          <m:sSubPr>
            <m:ctrlPr>
              <w:rPr>
                <w:rFonts w:ascii="Cambria Math" w:hAnsi="Cambria Math"/>
                <w:i/>
                <w:color w:val="000000" w:themeColor="text1"/>
                <w:sz w:val="22"/>
                <w:szCs w:val="26"/>
                <w:vertAlign w:val="subscript"/>
              </w:rPr>
            </m:ctrlPr>
          </m:sSubPr>
          <m:e>
            <m:r>
              <w:rPr>
                <w:rFonts w:ascii="Cambria Math" w:hAnsi="Cambria Math"/>
                <w:color w:val="000000" w:themeColor="text1"/>
                <w:sz w:val="22"/>
                <w:szCs w:val="26"/>
                <w:vertAlign w:val="subscript"/>
              </w:rPr>
              <m:t>D</m:t>
            </m:r>
          </m:e>
          <m:sub>
            <m:r>
              <w:rPr>
                <w:rFonts w:ascii="Cambria Math" w:hAnsi="Cambria Math"/>
                <w:color w:val="000000" w:themeColor="text1"/>
                <w:sz w:val="22"/>
                <w:szCs w:val="26"/>
                <w:vertAlign w:val="subscript"/>
              </w:rPr>
              <m:t>t</m:t>
            </m:r>
          </m:sub>
        </m:sSub>
        <m:sSub>
          <m:sSubPr>
            <m:ctrlPr>
              <w:rPr>
                <w:rFonts w:ascii="Cambria Math" w:hAnsi="Cambria Math"/>
                <w:i/>
                <w:color w:val="000000" w:themeColor="text1"/>
                <w:sz w:val="22"/>
                <w:szCs w:val="26"/>
                <w:vertAlign w:val="subscript"/>
              </w:rPr>
            </m:ctrlPr>
          </m:sSubPr>
          <m:e>
            <m:r>
              <w:rPr>
                <w:rFonts w:ascii="Cambria Math" w:hAnsi="Cambria Math"/>
                <w:color w:val="000000" w:themeColor="text1"/>
                <w:sz w:val="22"/>
                <w:szCs w:val="26"/>
                <w:vertAlign w:val="subscript"/>
              </w:rPr>
              <m:t>X</m:t>
            </m:r>
          </m:e>
          <m:sub>
            <m:r>
              <w:rPr>
                <w:rFonts w:ascii="Cambria Math" w:hAnsi="Cambria Math"/>
                <w:color w:val="000000" w:themeColor="text1"/>
                <w:sz w:val="22"/>
                <w:szCs w:val="26"/>
                <w:vertAlign w:val="subscript"/>
              </w:rPr>
              <m:t>t</m:t>
            </m:r>
          </m:sub>
        </m:sSub>
        <m:r>
          <w:rPr>
            <w:rFonts w:ascii="Cambria Math" w:hAnsi="Cambria Math"/>
            <w:color w:val="000000" w:themeColor="text1"/>
            <w:sz w:val="22"/>
            <w:szCs w:val="26"/>
            <w:vertAlign w:val="subscript"/>
          </w:rPr>
          <m:t>+</m:t>
        </m:r>
        <m:sSub>
          <m:sSubPr>
            <m:ctrlPr>
              <w:rPr>
                <w:rFonts w:ascii="Cambria Math" w:hAnsi="Cambria Math"/>
                <w:i/>
                <w:color w:val="000000" w:themeColor="text1"/>
                <w:sz w:val="22"/>
                <w:szCs w:val="26"/>
                <w:vertAlign w:val="subscript"/>
              </w:rPr>
            </m:ctrlPr>
          </m:sSubPr>
          <m:e>
            <m:r>
              <w:rPr>
                <w:rFonts w:ascii="Cambria Math" w:hAnsi="Cambria Math"/>
                <w:color w:val="000000" w:themeColor="text1"/>
                <w:sz w:val="22"/>
                <w:szCs w:val="26"/>
                <w:vertAlign w:val="subscript"/>
              </w:rPr>
              <m:t>ε</m:t>
            </m:r>
          </m:e>
          <m:sub>
            <m:r>
              <w:rPr>
                <w:rFonts w:ascii="Cambria Math" w:hAnsi="Cambria Math"/>
                <w:color w:val="000000" w:themeColor="text1"/>
                <w:sz w:val="22"/>
                <w:szCs w:val="26"/>
                <w:vertAlign w:val="subscript"/>
              </w:rPr>
              <m:t>i,t</m:t>
            </m:r>
          </m:sub>
        </m:sSub>
      </m:oMath>
      <w:r w:rsidR="003126DA" w:rsidRPr="007418EB">
        <w:rPr>
          <w:color w:val="000000" w:themeColor="text1"/>
          <w:sz w:val="22"/>
          <w:szCs w:val="26"/>
          <w:vertAlign w:val="subscript"/>
        </w:rPr>
        <w:tab/>
      </w:r>
      <w:r w:rsidR="003126DA" w:rsidRPr="007418EB">
        <w:rPr>
          <w:color w:val="000000" w:themeColor="text1"/>
          <w:sz w:val="22"/>
          <w:szCs w:val="26"/>
        </w:rPr>
        <w:t>(3.11)</w:t>
      </w:r>
    </w:p>
    <w:p w:rsidR="003126DA" w:rsidRPr="007418EB" w:rsidRDefault="00CA00E1" w:rsidP="003126DA">
      <w:pPr>
        <w:pStyle w:val="ListParagraph"/>
        <w:tabs>
          <w:tab w:val="right" w:pos="9027"/>
        </w:tabs>
        <w:spacing w:line="340" w:lineRule="exact"/>
        <w:ind w:left="709"/>
        <w:contextualSpacing w:val="0"/>
        <w:jc w:val="both"/>
        <w:rPr>
          <w:color w:val="000000" w:themeColor="text1"/>
          <w:sz w:val="22"/>
          <w:szCs w:val="26"/>
        </w:rPr>
      </w:pPr>
      <m:oMath>
        <m:sSubSup>
          <m:sSubSupPr>
            <m:ctrlPr>
              <w:rPr>
                <w:rFonts w:ascii="Cambria Math" w:hAnsi="Cambria Math"/>
                <w:i/>
                <w:color w:val="000000" w:themeColor="text1"/>
                <w:sz w:val="22"/>
                <w:szCs w:val="26"/>
              </w:rPr>
            </m:ctrlPr>
          </m:sSubSupPr>
          <m:e>
            <m:r>
              <w:rPr>
                <w:rFonts w:ascii="Cambria Math" w:hAnsi="Cambria Math"/>
                <w:color w:val="000000" w:themeColor="text1"/>
                <w:sz w:val="22"/>
                <w:szCs w:val="26"/>
              </w:rPr>
              <m:t>σ</m:t>
            </m:r>
          </m:e>
          <m:sub>
            <m:r>
              <w:rPr>
                <w:rFonts w:ascii="Cambria Math" w:hAnsi="Cambria Math"/>
                <w:color w:val="000000" w:themeColor="text1"/>
                <w:sz w:val="22"/>
                <w:szCs w:val="26"/>
              </w:rPr>
              <m:t>i,t</m:t>
            </m:r>
          </m:sub>
          <m:sup>
            <m:r>
              <w:rPr>
                <w:rFonts w:ascii="Cambria Math" w:hAnsi="Cambria Math"/>
                <w:color w:val="000000" w:themeColor="text1"/>
                <w:sz w:val="22"/>
                <w:szCs w:val="26"/>
              </w:rPr>
              <m:t>2</m:t>
            </m:r>
          </m:sup>
        </m:sSubSup>
        <m:r>
          <w:rPr>
            <w:rFonts w:ascii="Cambria Math" w:hAnsi="Cambria Math"/>
            <w:color w:val="000000" w:themeColor="text1"/>
            <w:sz w:val="22"/>
            <w:szCs w:val="26"/>
          </w:rPr>
          <m:t>=</m:t>
        </m:r>
        <m:sSub>
          <m:sSubPr>
            <m:ctrlPr>
              <w:rPr>
                <w:rFonts w:ascii="Cambria Math" w:hAnsi="Cambria Math"/>
                <w:i/>
                <w:color w:val="000000" w:themeColor="text1"/>
                <w:sz w:val="22"/>
                <w:szCs w:val="26"/>
              </w:rPr>
            </m:ctrlPr>
          </m:sSubPr>
          <m:e>
            <m:r>
              <w:rPr>
                <w:rFonts w:ascii="Cambria Math" w:hAnsi="Cambria Math"/>
                <w:color w:val="000000" w:themeColor="text1"/>
                <w:sz w:val="22"/>
                <w:szCs w:val="26"/>
              </w:rPr>
              <m:t>α</m:t>
            </m:r>
          </m:e>
          <m:sub>
            <m:r>
              <w:rPr>
                <w:rFonts w:ascii="Cambria Math" w:hAnsi="Cambria Math"/>
                <w:color w:val="000000" w:themeColor="text1"/>
                <w:sz w:val="22"/>
                <w:szCs w:val="26"/>
              </w:rPr>
              <m:t>i,0</m:t>
            </m:r>
          </m:sub>
        </m:sSub>
        <m:r>
          <w:rPr>
            <w:rFonts w:ascii="Cambria Math" w:hAnsi="Cambria Math"/>
            <w:color w:val="000000" w:themeColor="text1"/>
            <w:sz w:val="22"/>
            <w:szCs w:val="26"/>
          </w:rPr>
          <m:t>+</m:t>
        </m:r>
        <m:sSub>
          <m:sSubPr>
            <m:ctrlPr>
              <w:rPr>
                <w:rFonts w:ascii="Cambria Math" w:hAnsi="Cambria Math"/>
                <w:i/>
                <w:color w:val="000000" w:themeColor="text1"/>
                <w:sz w:val="22"/>
                <w:szCs w:val="26"/>
              </w:rPr>
            </m:ctrlPr>
          </m:sSubPr>
          <m:e>
            <m:r>
              <w:rPr>
                <w:rFonts w:ascii="Cambria Math" w:hAnsi="Cambria Math"/>
                <w:color w:val="000000" w:themeColor="text1"/>
                <w:sz w:val="22"/>
                <w:szCs w:val="26"/>
              </w:rPr>
              <m:t>α</m:t>
            </m:r>
          </m:e>
          <m:sub>
            <m:r>
              <w:rPr>
                <w:rFonts w:ascii="Cambria Math" w:hAnsi="Cambria Math"/>
                <w:color w:val="000000" w:themeColor="text1"/>
                <w:sz w:val="22"/>
                <w:szCs w:val="26"/>
              </w:rPr>
              <m:t>i,1</m:t>
            </m:r>
          </m:sub>
        </m:sSub>
        <m:sSubSup>
          <m:sSubSupPr>
            <m:ctrlPr>
              <w:rPr>
                <w:rFonts w:ascii="Cambria Math" w:hAnsi="Cambria Math"/>
                <w:i/>
                <w:color w:val="000000" w:themeColor="text1"/>
                <w:sz w:val="22"/>
                <w:szCs w:val="26"/>
              </w:rPr>
            </m:ctrlPr>
          </m:sSubSupPr>
          <m:e>
            <m:r>
              <w:rPr>
                <w:rFonts w:ascii="Cambria Math" w:hAnsi="Cambria Math"/>
                <w:color w:val="000000" w:themeColor="text1"/>
                <w:sz w:val="22"/>
                <w:szCs w:val="26"/>
              </w:rPr>
              <m:t>ε</m:t>
            </m:r>
          </m:e>
          <m:sub>
            <m:r>
              <w:rPr>
                <w:rFonts w:ascii="Cambria Math" w:hAnsi="Cambria Math"/>
                <w:color w:val="000000" w:themeColor="text1"/>
                <w:sz w:val="22"/>
                <w:szCs w:val="26"/>
              </w:rPr>
              <m:t>i,t-1</m:t>
            </m:r>
          </m:sub>
          <m:sup>
            <m:r>
              <w:rPr>
                <w:rFonts w:ascii="Cambria Math" w:hAnsi="Cambria Math"/>
                <w:color w:val="000000" w:themeColor="text1"/>
                <w:sz w:val="22"/>
                <w:szCs w:val="26"/>
              </w:rPr>
              <m:t>2</m:t>
            </m:r>
          </m:sup>
        </m:sSubSup>
        <m:r>
          <w:rPr>
            <w:rFonts w:ascii="Cambria Math" w:hAnsi="Cambria Math"/>
            <w:color w:val="000000" w:themeColor="text1"/>
            <w:sz w:val="22"/>
            <w:szCs w:val="26"/>
          </w:rPr>
          <m:t>+</m:t>
        </m:r>
        <m:sSub>
          <m:sSubPr>
            <m:ctrlPr>
              <w:rPr>
                <w:rFonts w:ascii="Cambria Math" w:hAnsi="Cambria Math"/>
                <w:i/>
                <w:color w:val="000000" w:themeColor="text1"/>
                <w:sz w:val="22"/>
                <w:szCs w:val="26"/>
              </w:rPr>
            </m:ctrlPr>
          </m:sSubPr>
          <m:e>
            <m:r>
              <w:rPr>
                <w:rFonts w:ascii="Cambria Math" w:hAnsi="Cambria Math"/>
                <w:color w:val="000000" w:themeColor="text1"/>
                <w:sz w:val="22"/>
                <w:szCs w:val="26"/>
              </w:rPr>
              <m:t>α</m:t>
            </m:r>
          </m:e>
          <m:sub>
            <m:r>
              <w:rPr>
                <w:rFonts w:ascii="Cambria Math" w:hAnsi="Cambria Math"/>
                <w:color w:val="000000" w:themeColor="text1"/>
                <w:sz w:val="22"/>
                <w:szCs w:val="26"/>
              </w:rPr>
              <m:t>i,2</m:t>
            </m:r>
          </m:sub>
        </m:sSub>
        <m:sSubSup>
          <m:sSubSupPr>
            <m:ctrlPr>
              <w:rPr>
                <w:rFonts w:ascii="Cambria Math" w:hAnsi="Cambria Math"/>
                <w:i/>
                <w:color w:val="000000" w:themeColor="text1"/>
                <w:sz w:val="22"/>
                <w:szCs w:val="26"/>
              </w:rPr>
            </m:ctrlPr>
          </m:sSubSupPr>
          <m:e>
            <m:r>
              <w:rPr>
                <w:rFonts w:ascii="Cambria Math" w:hAnsi="Cambria Math"/>
                <w:color w:val="000000" w:themeColor="text1"/>
                <w:sz w:val="22"/>
                <w:szCs w:val="26"/>
              </w:rPr>
              <m:t>σ</m:t>
            </m:r>
          </m:e>
          <m:sub>
            <m:r>
              <w:rPr>
                <w:rFonts w:ascii="Cambria Math" w:hAnsi="Cambria Math"/>
                <w:color w:val="000000" w:themeColor="text1"/>
                <w:sz w:val="22"/>
                <w:szCs w:val="26"/>
              </w:rPr>
              <m:t>i,t-1</m:t>
            </m:r>
          </m:sub>
          <m:sup>
            <m:r>
              <w:rPr>
                <w:rFonts w:ascii="Cambria Math" w:hAnsi="Cambria Math"/>
                <w:color w:val="000000" w:themeColor="text1"/>
                <w:sz w:val="22"/>
                <w:szCs w:val="26"/>
              </w:rPr>
              <m:t>2</m:t>
            </m:r>
          </m:sup>
        </m:sSubSup>
      </m:oMath>
      <w:r w:rsidR="003126DA" w:rsidRPr="007418EB">
        <w:rPr>
          <w:color w:val="000000" w:themeColor="text1"/>
          <w:sz w:val="22"/>
          <w:szCs w:val="26"/>
        </w:rPr>
        <w:tab/>
        <w:t>(3.12)</w:t>
      </w:r>
    </w:p>
    <w:p w:rsidR="00CB1844" w:rsidRPr="007418EB" w:rsidRDefault="00CB1844"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b/>
          <w:bCs/>
          <w:color w:val="000000" w:themeColor="text1"/>
          <w:lang w:val="en-US"/>
        </w:rPr>
        <w:t xml:space="preserve">Identify factors that affect the likelihood of </w:t>
      </w:r>
      <w:r w:rsidR="003A3C9A" w:rsidRPr="007418EB">
        <w:rPr>
          <w:rFonts w:ascii="Times New Roman" w:eastAsia="Times New Roman" w:hAnsi="Times New Roman" w:cs="Times New Roman"/>
          <w:b/>
          <w:bCs/>
          <w:color w:val="000000" w:themeColor="text1"/>
          <w:lang w:val="en-US"/>
        </w:rPr>
        <w:t>exchange rate exposure</w:t>
      </w:r>
      <w:bookmarkEnd w:id="11"/>
    </w:p>
    <w:p w:rsidR="00CB1844" w:rsidRPr="007418EB" w:rsidRDefault="009C07A8" w:rsidP="009C07A8">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b/>
          <w:bCs/>
          <w:color w:val="000000" w:themeColor="text1"/>
          <w:lang w:val="en-US"/>
        </w:rPr>
        <w:t>Table 3.</w:t>
      </w:r>
      <w:r w:rsidR="00CB1844" w:rsidRPr="007418EB">
        <w:rPr>
          <w:rFonts w:ascii="Times New Roman" w:eastAsia="Times New Roman" w:hAnsi="Times New Roman" w:cs="Times New Roman"/>
          <w:b/>
          <w:bCs/>
          <w:color w:val="000000" w:themeColor="text1"/>
          <w:lang w:val="en-US"/>
        </w:rPr>
        <w:t xml:space="preserve">4 Analyze the link between theory and model on the possibilities that lead to </w:t>
      </w:r>
      <w:r w:rsidR="003A3C9A" w:rsidRPr="007418EB">
        <w:rPr>
          <w:rFonts w:ascii="Times New Roman" w:eastAsia="Times New Roman" w:hAnsi="Times New Roman" w:cs="Times New Roman"/>
          <w:b/>
          <w:bCs/>
          <w:color w:val="000000" w:themeColor="text1"/>
          <w:lang w:val="en-US"/>
        </w:rPr>
        <w:t>exchange rate exposure</w:t>
      </w:r>
    </w:p>
    <w:tbl>
      <w:tblPr>
        <w:tblW w:w="0" w:type="auto"/>
        <w:tblLayout w:type="fixed"/>
        <w:tblCellMar>
          <w:left w:w="0" w:type="dxa"/>
          <w:right w:w="0" w:type="dxa"/>
        </w:tblCellMar>
        <w:tblLook w:val="04A0" w:firstRow="1" w:lastRow="0" w:firstColumn="1" w:lastColumn="0" w:noHBand="0" w:noVBand="1"/>
      </w:tblPr>
      <w:tblGrid>
        <w:gridCol w:w="701"/>
        <w:gridCol w:w="1826"/>
        <w:gridCol w:w="1860"/>
        <w:gridCol w:w="1720"/>
      </w:tblGrid>
      <w:tr w:rsidR="007418EB" w:rsidRPr="007418EB" w:rsidTr="00C8151A">
        <w:trPr>
          <w:trHeight w:val="602"/>
        </w:trPr>
        <w:tc>
          <w:tcPr>
            <w:tcW w:w="701" w:type="dxa"/>
            <w:tcBorders>
              <w:top w:val="single" w:sz="6" w:space="0" w:color="000000"/>
              <w:left w:val="single" w:sz="6" w:space="0" w:color="000000"/>
              <w:bottom w:val="single" w:sz="6" w:space="0" w:color="000000"/>
              <w:right w:val="single" w:sz="6" w:space="0" w:color="000000"/>
            </w:tcBorders>
            <w:vAlign w:val="center"/>
            <w:hideMark/>
          </w:tcPr>
          <w:p w:rsidR="00CB1844" w:rsidRPr="007418EB" w:rsidRDefault="00CB1844" w:rsidP="00CB1844">
            <w:pPr>
              <w:spacing w:after="0" w:line="340" w:lineRule="atLeast"/>
              <w:jc w:val="center"/>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b/>
                <w:bCs/>
                <w:color w:val="000000" w:themeColor="text1"/>
                <w:sz w:val="20"/>
                <w:szCs w:val="20"/>
                <w:lang w:val="en-US"/>
              </w:rPr>
              <w:t>Case</w:t>
            </w:r>
          </w:p>
        </w:tc>
        <w:tc>
          <w:tcPr>
            <w:tcW w:w="1826" w:type="dxa"/>
            <w:tcBorders>
              <w:top w:val="single" w:sz="6" w:space="0" w:color="000000"/>
              <w:left w:val="single" w:sz="6" w:space="0" w:color="000000"/>
              <w:bottom w:val="single" w:sz="6" w:space="0" w:color="000000"/>
              <w:right w:val="single" w:sz="6" w:space="0" w:color="000000"/>
            </w:tcBorders>
            <w:hideMark/>
          </w:tcPr>
          <w:p w:rsidR="00CB1844" w:rsidRPr="007418EB" w:rsidRDefault="00CB1844" w:rsidP="00CB1844">
            <w:pPr>
              <w:spacing w:after="0" w:line="340" w:lineRule="atLeast"/>
              <w:ind w:left="107"/>
              <w:jc w:val="center"/>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b/>
                <w:bCs/>
                <w:color w:val="000000" w:themeColor="text1"/>
                <w:sz w:val="20"/>
                <w:szCs w:val="20"/>
                <w:lang w:val="en-US"/>
              </w:rPr>
              <w:t>β </w:t>
            </w:r>
            <w:r w:rsidRPr="007418EB">
              <w:rPr>
                <w:rFonts w:ascii="Times New Roman" w:eastAsia="Times New Roman" w:hAnsi="Times New Roman" w:cs="Times New Roman"/>
                <w:b/>
                <w:bCs/>
                <w:color w:val="000000" w:themeColor="text1"/>
                <w:sz w:val="13"/>
                <w:szCs w:val="13"/>
                <w:vertAlign w:val="subscript"/>
                <w:lang w:val="en-US"/>
              </w:rPr>
              <w:t>2 </w:t>
            </w:r>
            <w:r w:rsidRPr="007418EB">
              <w:rPr>
                <w:rFonts w:ascii="Times New Roman" w:eastAsia="Times New Roman" w:hAnsi="Times New Roman" w:cs="Times New Roman"/>
                <w:b/>
                <w:bCs/>
                <w:color w:val="000000" w:themeColor="text1"/>
                <w:sz w:val="20"/>
                <w:szCs w:val="20"/>
                <w:lang w:val="en-US"/>
              </w:rPr>
              <w:t>&gt; 0</w:t>
            </w:r>
          </w:p>
        </w:tc>
        <w:tc>
          <w:tcPr>
            <w:tcW w:w="1860" w:type="dxa"/>
            <w:tcBorders>
              <w:top w:val="single" w:sz="6" w:space="0" w:color="000000"/>
              <w:left w:val="single" w:sz="6" w:space="0" w:color="000000"/>
              <w:bottom w:val="single" w:sz="6" w:space="0" w:color="000000"/>
              <w:right w:val="single" w:sz="6" w:space="0" w:color="000000"/>
            </w:tcBorders>
            <w:hideMark/>
          </w:tcPr>
          <w:p w:rsidR="00CB1844" w:rsidRPr="007418EB" w:rsidRDefault="00CB1844" w:rsidP="00CB1844">
            <w:pPr>
              <w:spacing w:after="0" w:line="340" w:lineRule="atLeast"/>
              <w:ind w:left="108"/>
              <w:jc w:val="center"/>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b/>
                <w:bCs/>
                <w:color w:val="000000" w:themeColor="text1"/>
                <w:sz w:val="20"/>
                <w:szCs w:val="20"/>
                <w:lang w:val="en-US"/>
              </w:rPr>
              <w:t>β </w:t>
            </w:r>
            <w:r w:rsidRPr="007418EB">
              <w:rPr>
                <w:rFonts w:ascii="Times New Roman" w:eastAsia="Times New Roman" w:hAnsi="Times New Roman" w:cs="Times New Roman"/>
                <w:b/>
                <w:bCs/>
                <w:color w:val="000000" w:themeColor="text1"/>
                <w:sz w:val="13"/>
                <w:szCs w:val="13"/>
                <w:vertAlign w:val="subscript"/>
                <w:lang w:val="en-US"/>
              </w:rPr>
              <w:t>2 </w:t>
            </w:r>
            <w:r w:rsidRPr="007418EB">
              <w:rPr>
                <w:rFonts w:ascii="Times New Roman" w:eastAsia="Times New Roman" w:hAnsi="Times New Roman" w:cs="Times New Roman"/>
                <w:b/>
                <w:bCs/>
                <w:color w:val="000000" w:themeColor="text1"/>
                <w:sz w:val="20"/>
                <w:szCs w:val="20"/>
                <w:lang w:val="en-US"/>
              </w:rPr>
              <w:t>= 0</w:t>
            </w:r>
          </w:p>
        </w:tc>
        <w:tc>
          <w:tcPr>
            <w:tcW w:w="1720" w:type="dxa"/>
            <w:tcBorders>
              <w:top w:val="single" w:sz="6" w:space="0" w:color="000000"/>
              <w:left w:val="single" w:sz="6" w:space="0" w:color="000000"/>
              <w:bottom w:val="single" w:sz="6" w:space="0" w:color="000000"/>
              <w:right w:val="single" w:sz="6" w:space="0" w:color="000000"/>
            </w:tcBorders>
            <w:hideMark/>
          </w:tcPr>
          <w:p w:rsidR="00CB1844" w:rsidRPr="007418EB" w:rsidRDefault="00CB1844" w:rsidP="00CB1844">
            <w:pPr>
              <w:spacing w:after="0" w:line="340" w:lineRule="atLeast"/>
              <w:ind w:left="108"/>
              <w:jc w:val="center"/>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b/>
                <w:bCs/>
                <w:color w:val="000000" w:themeColor="text1"/>
                <w:sz w:val="20"/>
                <w:szCs w:val="20"/>
                <w:lang w:val="en-US"/>
              </w:rPr>
              <w:t>β </w:t>
            </w:r>
            <w:r w:rsidRPr="007418EB">
              <w:rPr>
                <w:rFonts w:ascii="Times New Roman" w:eastAsia="Times New Roman" w:hAnsi="Times New Roman" w:cs="Times New Roman"/>
                <w:b/>
                <w:bCs/>
                <w:color w:val="000000" w:themeColor="text1"/>
                <w:sz w:val="13"/>
                <w:szCs w:val="13"/>
                <w:vertAlign w:val="subscript"/>
                <w:lang w:val="en-US"/>
              </w:rPr>
              <w:t>2 </w:t>
            </w:r>
            <w:r w:rsidRPr="007418EB">
              <w:rPr>
                <w:rFonts w:ascii="Times New Roman" w:eastAsia="Times New Roman" w:hAnsi="Times New Roman" w:cs="Times New Roman"/>
                <w:b/>
                <w:bCs/>
                <w:color w:val="000000" w:themeColor="text1"/>
                <w:sz w:val="20"/>
                <w:szCs w:val="20"/>
                <w:lang w:val="en-US"/>
              </w:rPr>
              <w:t>&lt; 0</w:t>
            </w:r>
            <w:r w:rsidRPr="007418EB">
              <w:rPr>
                <w:rFonts w:ascii="Times New Roman" w:eastAsia="Times New Roman" w:hAnsi="Times New Roman" w:cs="Times New Roman"/>
                <w:b/>
                <w:bCs/>
                <w:color w:val="000000" w:themeColor="text1"/>
                <w:sz w:val="13"/>
                <w:szCs w:val="13"/>
                <w:vertAlign w:val="subscript"/>
                <w:lang w:val="en-US"/>
              </w:rPr>
              <w:t> </w:t>
            </w:r>
          </w:p>
        </w:tc>
      </w:tr>
      <w:tr w:rsidR="007418EB" w:rsidRPr="007418EB" w:rsidTr="00C8151A">
        <w:trPr>
          <w:trHeight w:val="1254"/>
        </w:trPr>
        <w:tc>
          <w:tcPr>
            <w:tcW w:w="701" w:type="dxa"/>
            <w:tcBorders>
              <w:top w:val="single" w:sz="6" w:space="0" w:color="000000"/>
              <w:left w:val="single" w:sz="6" w:space="0" w:color="000000"/>
              <w:bottom w:val="single" w:sz="6" w:space="0" w:color="000000"/>
              <w:right w:val="single" w:sz="6" w:space="0" w:color="000000"/>
            </w:tcBorders>
            <w:hideMark/>
          </w:tcPr>
          <w:p w:rsidR="00861849" w:rsidRPr="007418EB" w:rsidRDefault="00861849" w:rsidP="00861849">
            <w:pPr>
              <w:pStyle w:val="TableParagraph"/>
              <w:spacing w:before="0" w:line="340" w:lineRule="exact"/>
              <w:jc w:val="center"/>
              <w:rPr>
                <w:b/>
                <w:color w:val="000000" w:themeColor="text1"/>
                <w:sz w:val="20"/>
                <w:szCs w:val="26"/>
              </w:rPr>
            </w:pPr>
            <w:r w:rsidRPr="007418EB">
              <w:rPr>
                <w:b/>
                <w:color w:val="000000" w:themeColor="text1"/>
                <w:sz w:val="20"/>
                <w:szCs w:val="26"/>
              </w:rPr>
              <w:t>β</w:t>
            </w:r>
            <w:r w:rsidRPr="007418EB">
              <w:rPr>
                <w:b/>
                <w:color w:val="000000" w:themeColor="text1"/>
                <w:sz w:val="20"/>
                <w:szCs w:val="26"/>
                <w:vertAlign w:val="subscript"/>
              </w:rPr>
              <w:t>3</w:t>
            </w:r>
            <w:r w:rsidRPr="007418EB">
              <w:rPr>
                <w:b/>
                <w:color w:val="000000" w:themeColor="text1"/>
                <w:sz w:val="20"/>
                <w:szCs w:val="26"/>
                <w:vertAlign w:val="subscript"/>
                <w:lang w:val="en-US"/>
              </w:rPr>
              <w:t xml:space="preserve"> </w:t>
            </w:r>
            <w:r w:rsidRPr="007418EB">
              <w:rPr>
                <w:b/>
                <w:color w:val="000000" w:themeColor="text1"/>
                <w:sz w:val="20"/>
                <w:szCs w:val="26"/>
              </w:rPr>
              <w:t>&gt;</w:t>
            </w:r>
            <w:r w:rsidRPr="007418EB">
              <w:rPr>
                <w:b/>
                <w:color w:val="000000" w:themeColor="text1"/>
                <w:sz w:val="20"/>
                <w:szCs w:val="26"/>
                <w:lang w:val="en-US"/>
              </w:rPr>
              <w:t xml:space="preserve"> </w:t>
            </w:r>
            <w:r w:rsidRPr="007418EB">
              <w:rPr>
                <w:b/>
                <w:color w:val="000000" w:themeColor="text1"/>
                <w:sz w:val="20"/>
                <w:szCs w:val="26"/>
              </w:rPr>
              <w:t>0</w:t>
            </w:r>
          </w:p>
        </w:tc>
        <w:tc>
          <w:tcPr>
            <w:tcW w:w="1826" w:type="dxa"/>
            <w:tcBorders>
              <w:top w:val="single" w:sz="6" w:space="0" w:color="000000"/>
              <w:left w:val="single" w:sz="6" w:space="0" w:color="000000"/>
              <w:bottom w:val="single" w:sz="6" w:space="0" w:color="000000"/>
              <w:right w:val="single" w:sz="6" w:space="0" w:color="000000"/>
            </w:tcBorders>
            <w:hideMark/>
          </w:tcPr>
          <w:p w:rsidR="00861849" w:rsidRPr="007418EB" w:rsidRDefault="00861849" w:rsidP="001E0BD4">
            <w:pPr>
              <w:spacing w:after="0" w:line="340" w:lineRule="atLeast"/>
              <w:ind w:left="136" w:right="131"/>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20"/>
                <w:szCs w:val="20"/>
                <w:lang w:val="en-US"/>
              </w:rPr>
              <w:t xml:space="preserve">(1) PTM with </w:t>
            </w:r>
            <w:r w:rsidR="00AF50FC" w:rsidRPr="007418EB">
              <w:rPr>
                <w:rFonts w:ascii="Times New Roman" w:eastAsia="Times New Roman" w:hAnsi="Times New Roman" w:cs="Times New Roman"/>
                <w:color w:val="000000" w:themeColor="text1"/>
                <w:sz w:val="20"/>
                <w:szCs w:val="20"/>
                <w:lang w:val="en-US"/>
              </w:rPr>
              <w:t xml:space="preserve">VC or </w:t>
            </w:r>
            <w:r w:rsidR="001E0BD4" w:rsidRPr="007418EB">
              <w:rPr>
                <w:rFonts w:ascii="Times New Roman" w:eastAsia="Times New Roman" w:hAnsi="Times New Roman" w:cs="Times New Roman"/>
                <w:color w:val="000000" w:themeColor="text1"/>
                <w:sz w:val="20"/>
                <w:szCs w:val="20"/>
                <w:lang w:val="en-US"/>
              </w:rPr>
              <w:t>a</w:t>
            </w:r>
            <w:r w:rsidR="00AF50FC" w:rsidRPr="007418EB">
              <w:rPr>
                <w:rFonts w:ascii="Times New Roman" w:eastAsia="Times New Roman" w:hAnsi="Times New Roman" w:cs="Times New Roman"/>
                <w:color w:val="000000" w:themeColor="text1"/>
                <w:sz w:val="20"/>
                <w:szCs w:val="20"/>
                <w:lang w:val="en-US"/>
              </w:rPr>
              <w:t>s</w:t>
            </w:r>
            <w:r w:rsidR="001E0BD4" w:rsidRPr="007418EB">
              <w:rPr>
                <w:rFonts w:ascii="Times New Roman" w:eastAsia="Times New Roman" w:hAnsi="Times New Roman" w:cs="Times New Roman"/>
                <w:color w:val="000000" w:themeColor="text1"/>
                <w:sz w:val="20"/>
                <w:szCs w:val="20"/>
                <w:lang w:val="en-US"/>
              </w:rPr>
              <w:t>ymmetric hedging</w:t>
            </w:r>
            <w:r w:rsidR="00AF50FC" w:rsidRPr="007418EB">
              <w:rPr>
                <w:rFonts w:ascii="Times New Roman" w:eastAsia="Times New Roman" w:hAnsi="Times New Roman" w:cs="Times New Roman"/>
                <w:color w:val="000000" w:themeColor="text1"/>
                <w:sz w:val="20"/>
                <w:szCs w:val="20"/>
                <w:lang w:val="en-US"/>
              </w:rPr>
              <w:t>  (net exporter)</w:t>
            </w:r>
          </w:p>
        </w:tc>
        <w:tc>
          <w:tcPr>
            <w:tcW w:w="1860" w:type="dxa"/>
            <w:tcBorders>
              <w:top w:val="single" w:sz="6" w:space="0" w:color="000000"/>
              <w:left w:val="single" w:sz="6" w:space="0" w:color="000000"/>
              <w:bottom w:val="single" w:sz="6" w:space="0" w:color="000000"/>
              <w:right w:val="single" w:sz="6" w:space="0" w:color="000000"/>
            </w:tcBorders>
            <w:hideMark/>
          </w:tcPr>
          <w:p w:rsidR="00861849" w:rsidRPr="007418EB" w:rsidRDefault="00861849" w:rsidP="001E0BD4">
            <w:pPr>
              <w:spacing w:after="0" w:line="340" w:lineRule="atLeast"/>
              <w:ind w:left="136" w:right="122"/>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20"/>
                <w:szCs w:val="20"/>
                <w:lang w:val="en-US"/>
              </w:rPr>
              <w:t xml:space="preserve">(4) PTM with VC or </w:t>
            </w:r>
            <w:r w:rsidR="001E0BD4" w:rsidRPr="007418EB">
              <w:rPr>
                <w:rFonts w:ascii="Times New Roman" w:eastAsia="Times New Roman" w:hAnsi="Times New Roman" w:cs="Times New Roman"/>
                <w:color w:val="000000" w:themeColor="text1"/>
                <w:sz w:val="20"/>
                <w:szCs w:val="20"/>
                <w:lang w:val="en-US"/>
              </w:rPr>
              <w:t>a</w:t>
            </w:r>
            <w:r w:rsidR="00AF50FC" w:rsidRPr="007418EB">
              <w:rPr>
                <w:rFonts w:ascii="Times New Roman" w:eastAsia="Times New Roman" w:hAnsi="Times New Roman" w:cs="Times New Roman"/>
                <w:color w:val="000000" w:themeColor="text1"/>
                <w:sz w:val="20"/>
                <w:szCs w:val="20"/>
                <w:lang w:val="en-US"/>
              </w:rPr>
              <w:t xml:space="preserve">symmetric </w:t>
            </w:r>
            <w:r w:rsidR="001E0BD4" w:rsidRPr="007418EB">
              <w:rPr>
                <w:rFonts w:ascii="Times New Roman" w:eastAsia="Times New Roman" w:hAnsi="Times New Roman" w:cs="Times New Roman"/>
                <w:color w:val="000000" w:themeColor="text1"/>
                <w:sz w:val="20"/>
                <w:szCs w:val="20"/>
                <w:lang w:val="en-US"/>
              </w:rPr>
              <w:t>hedging</w:t>
            </w:r>
            <w:r w:rsidRPr="007418EB">
              <w:rPr>
                <w:rFonts w:ascii="Times New Roman" w:eastAsia="Times New Roman" w:hAnsi="Times New Roman" w:cs="Times New Roman"/>
                <w:color w:val="000000" w:themeColor="text1"/>
                <w:sz w:val="20"/>
                <w:szCs w:val="20"/>
                <w:lang w:val="en-US"/>
              </w:rPr>
              <w:t xml:space="preserve"> (net exporters)</w:t>
            </w:r>
          </w:p>
        </w:tc>
        <w:tc>
          <w:tcPr>
            <w:tcW w:w="1720" w:type="dxa"/>
            <w:tcBorders>
              <w:top w:val="single" w:sz="6" w:space="0" w:color="000000"/>
              <w:left w:val="single" w:sz="6" w:space="0" w:color="000000"/>
              <w:bottom w:val="single" w:sz="6" w:space="0" w:color="000000"/>
              <w:right w:val="single" w:sz="6" w:space="0" w:color="000000"/>
            </w:tcBorders>
            <w:hideMark/>
          </w:tcPr>
          <w:p w:rsidR="00C8151A" w:rsidRPr="007418EB" w:rsidRDefault="00C8151A" w:rsidP="00AB3FB6">
            <w:pPr>
              <w:spacing w:after="0" w:line="340" w:lineRule="atLeast"/>
              <w:ind w:left="136" w:right="130"/>
              <w:rPr>
                <w:rFonts w:ascii="Times New Roman" w:eastAsia="Times New Roman" w:hAnsi="Times New Roman" w:cs="Times New Roman"/>
                <w:color w:val="000000" w:themeColor="text1"/>
                <w:sz w:val="20"/>
                <w:szCs w:val="20"/>
                <w:shd w:val="clear" w:color="auto" w:fill="FFFF00"/>
                <w:lang w:val="en-US"/>
              </w:rPr>
            </w:pPr>
            <w:r w:rsidRPr="007418EB">
              <w:rPr>
                <w:rFonts w:ascii="Times New Roman" w:eastAsia="Times New Roman" w:hAnsi="Times New Roman" w:cs="Times New Roman"/>
                <w:color w:val="000000" w:themeColor="text1"/>
                <w:sz w:val="20"/>
                <w:szCs w:val="20"/>
                <w:lang w:val="en-US"/>
              </w:rPr>
              <w:t xml:space="preserve">(7) </w:t>
            </w:r>
            <w:r w:rsidR="00AB3FB6" w:rsidRPr="007418EB">
              <w:rPr>
                <w:rFonts w:ascii="Times New Roman" w:eastAsia="Times New Roman" w:hAnsi="Times New Roman" w:cs="Times New Roman"/>
                <w:color w:val="000000" w:themeColor="text1"/>
                <w:sz w:val="20"/>
                <w:szCs w:val="20"/>
                <w:lang w:val="en-US"/>
              </w:rPr>
              <w:t>Asymmetric hedging (net importer)</w:t>
            </w:r>
          </w:p>
        </w:tc>
      </w:tr>
      <w:tr w:rsidR="007418EB" w:rsidRPr="007418EB" w:rsidTr="00C8151A">
        <w:trPr>
          <w:trHeight w:val="1272"/>
        </w:trPr>
        <w:tc>
          <w:tcPr>
            <w:tcW w:w="701" w:type="dxa"/>
            <w:tcBorders>
              <w:top w:val="single" w:sz="6" w:space="0" w:color="000000"/>
              <w:left w:val="single" w:sz="6" w:space="0" w:color="000000"/>
              <w:bottom w:val="single" w:sz="6" w:space="0" w:color="000000"/>
              <w:right w:val="single" w:sz="6" w:space="0" w:color="000000"/>
            </w:tcBorders>
            <w:hideMark/>
          </w:tcPr>
          <w:p w:rsidR="00861849" w:rsidRPr="007418EB" w:rsidRDefault="00861849" w:rsidP="00861849">
            <w:pPr>
              <w:pStyle w:val="TableParagraph"/>
              <w:spacing w:before="0" w:line="340" w:lineRule="exact"/>
              <w:jc w:val="center"/>
              <w:rPr>
                <w:b/>
                <w:color w:val="000000" w:themeColor="text1"/>
                <w:sz w:val="20"/>
                <w:szCs w:val="26"/>
              </w:rPr>
            </w:pPr>
            <w:r w:rsidRPr="007418EB">
              <w:rPr>
                <w:b/>
                <w:color w:val="000000" w:themeColor="text1"/>
                <w:sz w:val="20"/>
                <w:szCs w:val="26"/>
              </w:rPr>
              <w:t>β</w:t>
            </w:r>
            <w:r w:rsidRPr="007418EB">
              <w:rPr>
                <w:b/>
                <w:color w:val="000000" w:themeColor="text1"/>
                <w:sz w:val="20"/>
                <w:szCs w:val="26"/>
                <w:vertAlign w:val="subscript"/>
              </w:rPr>
              <w:t>3</w:t>
            </w:r>
            <w:r w:rsidRPr="007418EB">
              <w:rPr>
                <w:b/>
                <w:color w:val="000000" w:themeColor="text1"/>
                <w:sz w:val="20"/>
                <w:szCs w:val="26"/>
                <w:vertAlign w:val="subscript"/>
                <w:lang w:val="en-US"/>
              </w:rPr>
              <w:t xml:space="preserve"> </w:t>
            </w:r>
            <w:r w:rsidRPr="007418EB">
              <w:rPr>
                <w:b/>
                <w:color w:val="000000" w:themeColor="text1"/>
                <w:sz w:val="20"/>
                <w:szCs w:val="26"/>
              </w:rPr>
              <w:t>=</w:t>
            </w:r>
            <w:r w:rsidRPr="007418EB">
              <w:rPr>
                <w:b/>
                <w:color w:val="000000" w:themeColor="text1"/>
                <w:sz w:val="20"/>
                <w:szCs w:val="26"/>
                <w:lang w:val="en-US"/>
              </w:rPr>
              <w:t xml:space="preserve"> </w:t>
            </w:r>
            <w:r w:rsidRPr="007418EB">
              <w:rPr>
                <w:b/>
                <w:color w:val="000000" w:themeColor="text1"/>
                <w:sz w:val="20"/>
                <w:szCs w:val="26"/>
              </w:rPr>
              <w:t>0</w:t>
            </w:r>
          </w:p>
        </w:tc>
        <w:tc>
          <w:tcPr>
            <w:tcW w:w="1826" w:type="dxa"/>
            <w:tcBorders>
              <w:top w:val="single" w:sz="6" w:space="0" w:color="000000"/>
              <w:left w:val="single" w:sz="6" w:space="0" w:color="000000"/>
              <w:bottom w:val="single" w:sz="6" w:space="0" w:color="000000"/>
              <w:right w:val="single" w:sz="6" w:space="0" w:color="000000"/>
            </w:tcBorders>
            <w:hideMark/>
          </w:tcPr>
          <w:p w:rsidR="00861849" w:rsidRPr="007418EB" w:rsidRDefault="00861849" w:rsidP="00AF50FC">
            <w:pPr>
              <w:spacing w:after="0" w:line="340" w:lineRule="atLeast"/>
              <w:ind w:left="136" w:right="425"/>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20"/>
                <w:szCs w:val="20"/>
                <w:lang w:val="en-US"/>
              </w:rPr>
              <w:t>(2) </w:t>
            </w:r>
            <w:r w:rsidR="00AF50FC" w:rsidRPr="007418EB">
              <w:rPr>
                <w:rFonts w:ascii="Times New Roman" w:eastAsia="Times New Roman" w:hAnsi="Times New Roman" w:cs="Times New Roman"/>
                <w:color w:val="000000" w:themeColor="text1"/>
                <w:sz w:val="20"/>
                <w:szCs w:val="20"/>
                <w:lang w:val="en-US"/>
              </w:rPr>
              <w:t>Symmetric exposure </w:t>
            </w:r>
            <w:r w:rsidRPr="007418EB">
              <w:rPr>
                <w:rFonts w:ascii="Times New Roman" w:eastAsia="Times New Roman" w:hAnsi="Times New Roman" w:cs="Times New Roman"/>
                <w:color w:val="000000" w:themeColor="text1"/>
                <w:sz w:val="20"/>
                <w:szCs w:val="20"/>
                <w:lang w:val="en-US"/>
              </w:rPr>
              <w:t>(net exporter)</w:t>
            </w:r>
          </w:p>
        </w:tc>
        <w:tc>
          <w:tcPr>
            <w:tcW w:w="1860" w:type="dxa"/>
            <w:tcBorders>
              <w:top w:val="single" w:sz="6" w:space="0" w:color="000000"/>
              <w:left w:val="single" w:sz="6" w:space="0" w:color="000000"/>
              <w:bottom w:val="single" w:sz="6" w:space="0" w:color="000000"/>
              <w:right w:val="single" w:sz="6" w:space="0" w:color="000000"/>
            </w:tcBorders>
            <w:hideMark/>
          </w:tcPr>
          <w:p w:rsidR="00861849" w:rsidRPr="007418EB" w:rsidRDefault="00AF50FC" w:rsidP="00AF50FC">
            <w:pPr>
              <w:spacing w:after="0" w:line="340" w:lineRule="atLeast"/>
              <w:ind w:left="136" w:right="113"/>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20"/>
                <w:szCs w:val="20"/>
                <w:lang w:val="en-US"/>
              </w:rPr>
              <w:t xml:space="preserve">(5) No exposure (net </w:t>
            </w:r>
            <w:r w:rsidR="00861849" w:rsidRPr="007418EB">
              <w:rPr>
                <w:rFonts w:ascii="Times New Roman" w:eastAsia="Times New Roman" w:hAnsi="Times New Roman" w:cs="Times New Roman"/>
                <w:color w:val="000000" w:themeColor="text1"/>
                <w:sz w:val="20"/>
                <w:szCs w:val="20"/>
                <w:lang w:val="en-US"/>
              </w:rPr>
              <w:t xml:space="preserve">exporter </w:t>
            </w:r>
            <w:r w:rsidRPr="007418EB">
              <w:rPr>
                <w:rFonts w:ascii="Times New Roman" w:eastAsia="Times New Roman" w:hAnsi="Times New Roman" w:cs="Times New Roman"/>
                <w:color w:val="000000" w:themeColor="text1"/>
                <w:sz w:val="20"/>
                <w:szCs w:val="20"/>
                <w:lang w:val="en-US"/>
              </w:rPr>
              <w:t>or net importer</w:t>
            </w:r>
            <w:r w:rsidR="00861849" w:rsidRPr="007418EB">
              <w:rPr>
                <w:rFonts w:ascii="Times New Roman" w:eastAsia="Times New Roman" w:hAnsi="Times New Roman" w:cs="Times New Roman"/>
                <w:color w:val="000000" w:themeColor="text1"/>
                <w:sz w:val="20"/>
                <w:szCs w:val="20"/>
                <w:lang w:val="en-US"/>
              </w:rPr>
              <w:t>)</w:t>
            </w:r>
          </w:p>
        </w:tc>
        <w:tc>
          <w:tcPr>
            <w:tcW w:w="1720" w:type="dxa"/>
            <w:tcBorders>
              <w:top w:val="single" w:sz="6" w:space="0" w:color="000000"/>
              <w:left w:val="single" w:sz="6" w:space="0" w:color="000000"/>
              <w:bottom w:val="single" w:sz="6" w:space="0" w:color="000000"/>
              <w:right w:val="single" w:sz="6" w:space="0" w:color="000000"/>
            </w:tcBorders>
            <w:hideMark/>
          </w:tcPr>
          <w:p w:rsidR="00861849" w:rsidRPr="007418EB" w:rsidRDefault="00861849" w:rsidP="00AF50FC">
            <w:pPr>
              <w:spacing w:after="0" w:line="340" w:lineRule="atLeast"/>
              <w:ind w:left="136" w:right="127"/>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20"/>
                <w:szCs w:val="20"/>
                <w:lang w:val="en-US"/>
              </w:rPr>
              <w:t>(8) </w:t>
            </w:r>
            <w:r w:rsidR="00AF50FC" w:rsidRPr="007418EB">
              <w:rPr>
                <w:rFonts w:ascii="Times New Roman" w:eastAsia="Times New Roman" w:hAnsi="Times New Roman" w:cs="Times New Roman"/>
                <w:color w:val="000000" w:themeColor="text1"/>
                <w:sz w:val="20"/>
                <w:szCs w:val="20"/>
                <w:lang w:val="en-US"/>
              </w:rPr>
              <w:t>Symmetric exposure</w:t>
            </w:r>
            <w:r w:rsidRPr="007418EB">
              <w:rPr>
                <w:rFonts w:ascii="Times New Roman" w:eastAsia="Times New Roman" w:hAnsi="Times New Roman" w:cs="Times New Roman"/>
                <w:color w:val="000000" w:themeColor="text1"/>
                <w:sz w:val="20"/>
                <w:szCs w:val="20"/>
                <w:lang w:val="en-US"/>
              </w:rPr>
              <w:t> (net importer)</w:t>
            </w:r>
          </w:p>
        </w:tc>
      </w:tr>
      <w:tr w:rsidR="007418EB" w:rsidRPr="007418EB" w:rsidTr="00C8151A">
        <w:trPr>
          <w:trHeight w:val="1261"/>
        </w:trPr>
        <w:tc>
          <w:tcPr>
            <w:tcW w:w="701" w:type="dxa"/>
            <w:tcBorders>
              <w:top w:val="single" w:sz="6" w:space="0" w:color="000000"/>
              <w:left w:val="single" w:sz="6" w:space="0" w:color="000000"/>
              <w:bottom w:val="single" w:sz="6" w:space="0" w:color="000000"/>
              <w:right w:val="single" w:sz="6" w:space="0" w:color="000000"/>
            </w:tcBorders>
            <w:hideMark/>
          </w:tcPr>
          <w:p w:rsidR="00861849" w:rsidRPr="007418EB" w:rsidRDefault="00861849" w:rsidP="00861849">
            <w:pPr>
              <w:pStyle w:val="TableParagraph"/>
              <w:spacing w:before="0" w:line="340" w:lineRule="exact"/>
              <w:jc w:val="center"/>
              <w:rPr>
                <w:b/>
                <w:color w:val="000000" w:themeColor="text1"/>
                <w:sz w:val="20"/>
                <w:szCs w:val="26"/>
              </w:rPr>
            </w:pPr>
            <w:r w:rsidRPr="007418EB">
              <w:rPr>
                <w:b/>
                <w:color w:val="000000" w:themeColor="text1"/>
                <w:sz w:val="20"/>
                <w:szCs w:val="26"/>
              </w:rPr>
              <w:lastRenderedPageBreak/>
              <w:t>β</w:t>
            </w:r>
            <w:r w:rsidRPr="007418EB">
              <w:rPr>
                <w:b/>
                <w:color w:val="000000" w:themeColor="text1"/>
                <w:sz w:val="20"/>
                <w:szCs w:val="26"/>
                <w:vertAlign w:val="subscript"/>
              </w:rPr>
              <w:t>3</w:t>
            </w:r>
            <w:r w:rsidRPr="007418EB">
              <w:rPr>
                <w:b/>
                <w:color w:val="000000" w:themeColor="text1"/>
                <w:sz w:val="20"/>
                <w:szCs w:val="26"/>
                <w:vertAlign w:val="subscript"/>
                <w:lang w:val="en-US"/>
              </w:rPr>
              <w:t xml:space="preserve"> </w:t>
            </w:r>
            <w:r w:rsidRPr="007418EB">
              <w:rPr>
                <w:b/>
                <w:color w:val="000000" w:themeColor="text1"/>
                <w:sz w:val="20"/>
                <w:szCs w:val="26"/>
              </w:rPr>
              <w:t>&lt;</w:t>
            </w:r>
            <w:r w:rsidRPr="007418EB">
              <w:rPr>
                <w:b/>
                <w:color w:val="000000" w:themeColor="text1"/>
                <w:sz w:val="20"/>
                <w:szCs w:val="26"/>
                <w:lang w:val="en-US"/>
              </w:rPr>
              <w:t xml:space="preserve"> </w:t>
            </w:r>
            <w:r w:rsidRPr="007418EB">
              <w:rPr>
                <w:b/>
                <w:color w:val="000000" w:themeColor="text1"/>
                <w:sz w:val="20"/>
                <w:szCs w:val="26"/>
              </w:rPr>
              <w:t>0</w:t>
            </w:r>
          </w:p>
        </w:tc>
        <w:tc>
          <w:tcPr>
            <w:tcW w:w="1826" w:type="dxa"/>
            <w:tcBorders>
              <w:top w:val="single" w:sz="6" w:space="0" w:color="000000"/>
              <w:left w:val="single" w:sz="6" w:space="0" w:color="000000"/>
              <w:bottom w:val="single" w:sz="6" w:space="0" w:color="000000"/>
              <w:right w:val="single" w:sz="6" w:space="0" w:color="000000"/>
            </w:tcBorders>
            <w:hideMark/>
          </w:tcPr>
          <w:p w:rsidR="00861849" w:rsidRPr="007418EB" w:rsidRDefault="00861849" w:rsidP="00AF50FC">
            <w:pPr>
              <w:spacing w:after="0" w:line="340" w:lineRule="atLeast"/>
              <w:ind w:left="136" w:right="293"/>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20"/>
                <w:szCs w:val="20"/>
                <w:lang w:val="en-US"/>
              </w:rPr>
              <w:t>(3) PTM with MSO</w:t>
            </w:r>
            <w:r w:rsidR="00AF50FC" w:rsidRPr="007418EB">
              <w:rPr>
                <w:rFonts w:ascii="Times New Roman" w:eastAsia="Times New Roman" w:hAnsi="Times New Roman" w:cs="Times New Roman"/>
                <w:color w:val="000000" w:themeColor="text1"/>
                <w:sz w:val="20"/>
                <w:szCs w:val="20"/>
                <w:lang w:val="en-US"/>
              </w:rPr>
              <w:t xml:space="preserve"> or hysteresis</w:t>
            </w:r>
            <w:r w:rsidRPr="007418EB">
              <w:rPr>
                <w:rFonts w:ascii="Times New Roman" w:eastAsia="Times New Roman" w:hAnsi="Times New Roman" w:cs="Times New Roman"/>
                <w:color w:val="000000" w:themeColor="text1"/>
                <w:sz w:val="20"/>
                <w:szCs w:val="20"/>
                <w:lang w:val="en-US"/>
              </w:rPr>
              <w:t xml:space="preserve"> (net exporter)</w:t>
            </w:r>
          </w:p>
        </w:tc>
        <w:tc>
          <w:tcPr>
            <w:tcW w:w="1860" w:type="dxa"/>
            <w:tcBorders>
              <w:top w:val="single" w:sz="6" w:space="0" w:color="000000"/>
              <w:left w:val="single" w:sz="6" w:space="0" w:color="000000"/>
              <w:bottom w:val="single" w:sz="6" w:space="0" w:color="000000"/>
              <w:right w:val="single" w:sz="6" w:space="0" w:color="000000"/>
            </w:tcBorders>
            <w:hideMark/>
          </w:tcPr>
          <w:p w:rsidR="00861849" w:rsidRPr="007418EB" w:rsidRDefault="00A03FB0" w:rsidP="00AF50FC">
            <w:pPr>
              <w:spacing w:after="0" w:line="340" w:lineRule="atLeast"/>
              <w:ind w:left="136" w:right="430"/>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20"/>
                <w:szCs w:val="20"/>
                <w:lang w:val="en-US"/>
              </w:rPr>
              <w:t>(6) PTM with MSO</w:t>
            </w:r>
            <w:r w:rsidR="00861849" w:rsidRPr="007418EB">
              <w:rPr>
                <w:rFonts w:ascii="Times New Roman" w:eastAsia="Times New Roman" w:hAnsi="Times New Roman" w:cs="Times New Roman"/>
                <w:color w:val="000000" w:themeColor="text1"/>
                <w:sz w:val="20"/>
                <w:szCs w:val="20"/>
                <w:lang w:val="en-US"/>
              </w:rPr>
              <w:t> </w:t>
            </w:r>
            <w:r w:rsidR="00AF50FC" w:rsidRPr="007418EB">
              <w:rPr>
                <w:rFonts w:ascii="Times New Roman" w:eastAsia="Times New Roman" w:hAnsi="Times New Roman" w:cs="Times New Roman"/>
                <w:color w:val="000000" w:themeColor="text1"/>
                <w:sz w:val="20"/>
                <w:szCs w:val="20"/>
                <w:lang w:val="en-US"/>
              </w:rPr>
              <w:t>or hysteresis</w:t>
            </w:r>
            <w:r w:rsidR="00B45E17" w:rsidRPr="007418EB">
              <w:rPr>
                <w:rFonts w:ascii="Times New Roman" w:eastAsia="Times New Roman" w:hAnsi="Times New Roman" w:cs="Times New Roman"/>
                <w:color w:val="000000" w:themeColor="text1"/>
                <w:sz w:val="20"/>
                <w:szCs w:val="20"/>
                <w:lang w:val="en-US"/>
              </w:rPr>
              <w:t xml:space="preserve"> (net im</w:t>
            </w:r>
            <w:r w:rsidR="00AF50FC" w:rsidRPr="007418EB">
              <w:rPr>
                <w:rFonts w:ascii="Times New Roman" w:eastAsia="Times New Roman" w:hAnsi="Times New Roman" w:cs="Times New Roman"/>
                <w:color w:val="000000" w:themeColor="text1"/>
                <w:sz w:val="20"/>
                <w:szCs w:val="20"/>
                <w:lang w:val="en-US"/>
              </w:rPr>
              <w:t>porter)</w:t>
            </w:r>
          </w:p>
        </w:tc>
        <w:tc>
          <w:tcPr>
            <w:tcW w:w="1720" w:type="dxa"/>
            <w:tcBorders>
              <w:top w:val="single" w:sz="6" w:space="0" w:color="000000"/>
              <w:left w:val="single" w:sz="6" w:space="0" w:color="000000"/>
              <w:bottom w:val="single" w:sz="6" w:space="0" w:color="000000"/>
              <w:right w:val="single" w:sz="6" w:space="0" w:color="000000"/>
            </w:tcBorders>
            <w:hideMark/>
          </w:tcPr>
          <w:p w:rsidR="00861849" w:rsidRPr="007418EB" w:rsidRDefault="00861849" w:rsidP="00AB3FB6">
            <w:pPr>
              <w:spacing w:after="0" w:line="340" w:lineRule="atLeast"/>
              <w:ind w:left="136" w:right="127"/>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20"/>
                <w:szCs w:val="20"/>
                <w:lang w:val="en-US"/>
              </w:rPr>
              <w:t>(9) </w:t>
            </w:r>
            <w:r w:rsidR="00AB3FB6" w:rsidRPr="007418EB">
              <w:rPr>
                <w:rFonts w:ascii="Times New Roman" w:eastAsia="Times New Roman" w:hAnsi="Times New Roman" w:cs="Times New Roman"/>
                <w:color w:val="000000" w:themeColor="text1"/>
                <w:sz w:val="20"/>
                <w:szCs w:val="20"/>
                <w:lang w:val="en-US"/>
              </w:rPr>
              <w:t>PTM with MSO (net importer)</w:t>
            </w:r>
            <w:r w:rsidR="00C8151A" w:rsidRPr="007418EB">
              <w:rPr>
                <w:rFonts w:ascii="Times New Roman" w:eastAsia="Times New Roman" w:hAnsi="Times New Roman" w:cs="Times New Roman"/>
                <w:color w:val="000000" w:themeColor="text1"/>
                <w:sz w:val="20"/>
                <w:szCs w:val="20"/>
                <w:lang w:val="en-US"/>
              </w:rPr>
              <w:t xml:space="preserve"> </w:t>
            </w:r>
          </w:p>
        </w:tc>
      </w:tr>
    </w:tbl>
    <w:p w:rsidR="00CB1844" w:rsidRPr="007418EB" w:rsidRDefault="00CB1844"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i/>
          <w:iCs/>
          <w:color w:val="000000" w:themeColor="text1"/>
          <w:sz w:val="20"/>
          <w:szCs w:val="20"/>
          <w:lang w:val="en-US"/>
        </w:rPr>
        <w:t>Note: Pricing to market (PTM - Pricing to market); Market share objective (MSO); output constraints (VC)</w:t>
      </w:r>
    </w:p>
    <w:p w:rsidR="00CB1844" w:rsidRPr="007418EB" w:rsidRDefault="00CB1844"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b/>
          <w:bCs/>
          <w:color w:val="000000" w:themeColor="text1"/>
          <w:lang w:val="en-US"/>
        </w:rPr>
        <w:t xml:space="preserve">Test the factors affecting the </w:t>
      </w:r>
      <w:r w:rsidR="003A3C9A" w:rsidRPr="007418EB">
        <w:rPr>
          <w:rFonts w:ascii="Times New Roman" w:eastAsia="Times New Roman" w:hAnsi="Times New Roman" w:cs="Times New Roman"/>
          <w:b/>
          <w:bCs/>
          <w:color w:val="000000" w:themeColor="text1"/>
          <w:lang w:val="en-US"/>
        </w:rPr>
        <w:t>exchange rate exposure</w:t>
      </w:r>
      <w:r w:rsidRPr="007418EB">
        <w:rPr>
          <w:rFonts w:ascii="Times New Roman" w:eastAsia="Times New Roman" w:hAnsi="Times New Roman" w:cs="Times New Roman"/>
          <w:b/>
          <w:bCs/>
          <w:color w:val="000000" w:themeColor="text1"/>
          <w:lang w:val="en-US"/>
        </w:rPr>
        <w:t xml:space="preserve"> of enterprises</w:t>
      </w:r>
    </w:p>
    <w:p w:rsidR="00861849" w:rsidRPr="007418EB" w:rsidRDefault="00CA00E1" w:rsidP="00861849">
      <w:pPr>
        <w:pStyle w:val="ListParagraph"/>
        <w:tabs>
          <w:tab w:val="right" w:pos="9027"/>
        </w:tabs>
        <w:spacing w:line="340" w:lineRule="exact"/>
        <w:ind w:left="709"/>
        <w:contextualSpacing w:val="0"/>
        <w:jc w:val="center"/>
        <w:rPr>
          <w:color w:val="000000" w:themeColor="text1"/>
          <w:sz w:val="22"/>
          <w:szCs w:val="26"/>
        </w:rPr>
      </w:pPr>
      <m:oMath>
        <m:d>
          <m:dPr>
            <m:begChr m:val="|"/>
            <m:endChr m:val="|"/>
            <m:ctrlPr>
              <w:rPr>
                <w:rFonts w:ascii="Cambria Math" w:hAnsi="Cambria Math"/>
                <w:i/>
                <w:color w:val="000000" w:themeColor="text1"/>
                <w:sz w:val="22"/>
                <w:szCs w:val="26"/>
              </w:rPr>
            </m:ctrlPr>
          </m:dPr>
          <m:e>
            <m:sSub>
              <m:sSubPr>
                <m:ctrlPr>
                  <w:rPr>
                    <w:rFonts w:ascii="Cambria Math" w:hAnsi="Cambria Math"/>
                    <w:i/>
                    <w:color w:val="000000" w:themeColor="text1"/>
                    <w:sz w:val="22"/>
                    <w:szCs w:val="26"/>
                  </w:rPr>
                </m:ctrlPr>
              </m:sSubPr>
              <m:e>
                <m:r>
                  <w:rPr>
                    <w:rFonts w:ascii="Cambria Math" w:hAnsi="Cambria Math"/>
                    <w:color w:val="000000" w:themeColor="text1"/>
                    <w:sz w:val="22"/>
                    <w:szCs w:val="26"/>
                  </w:rPr>
                  <m:t>β</m:t>
                </m:r>
              </m:e>
              <m:sub>
                <m:r>
                  <w:rPr>
                    <w:rFonts w:ascii="Cambria Math" w:hAnsi="Cambria Math"/>
                    <w:color w:val="000000" w:themeColor="text1"/>
                    <w:sz w:val="22"/>
                    <w:szCs w:val="26"/>
                  </w:rPr>
                  <m:t>it,2</m:t>
                </m:r>
              </m:sub>
            </m:sSub>
          </m:e>
        </m:d>
        <m:r>
          <w:rPr>
            <w:rFonts w:ascii="Cambria Math" w:hAnsi="Cambria Math"/>
            <w:color w:val="000000" w:themeColor="text1"/>
            <w:sz w:val="22"/>
            <w:szCs w:val="26"/>
          </w:rPr>
          <m:t>=</m:t>
        </m:r>
        <m:sSub>
          <m:sSubPr>
            <m:ctrlPr>
              <w:rPr>
                <w:rFonts w:ascii="Cambria Math" w:hAnsi="Cambria Math"/>
                <w:i/>
                <w:color w:val="000000" w:themeColor="text1"/>
                <w:sz w:val="22"/>
                <w:szCs w:val="26"/>
              </w:rPr>
            </m:ctrlPr>
          </m:sSubPr>
          <m:e>
            <m:r>
              <w:rPr>
                <w:rFonts w:ascii="Cambria Math" w:hAnsi="Cambria Math"/>
                <w:color w:val="000000" w:themeColor="text1"/>
                <w:sz w:val="22"/>
                <w:szCs w:val="26"/>
              </w:rPr>
              <m:t>α</m:t>
            </m:r>
          </m:e>
          <m:sub>
            <m:r>
              <w:rPr>
                <w:rFonts w:ascii="Cambria Math" w:hAnsi="Cambria Math"/>
                <w:color w:val="000000" w:themeColor="text1"/>
                <w:sz w:val="22"/>
                <w:szCs w:val="26"/>
              </w:rPr>
              <m:t>i0</m:t>
            </m:r>
          </m:sub>
        </m:sSub>
        <m:r>
          <w:rPr>
            <w:rFonts w:ascii="Cambria Math" w:hAnsi="Cambria Math"/>
            <w:color w:val="000000" w:themeColor="text1"/>
            <w:sz w:val="22"/>
            <w:szCs w:val="26"/>
          </w:rPr>
          <m:t>+</m:t>
        </m:r>
        <m:nary>
          <m:naryPr>
            <m:chr m:val="∑"/>
            <m:limLoc m:val="undOvr"/>
            <m:ctrlPr>
              <w:rPr>
                <w:rFonts w:ascii="Cambria Math" w:hAnsi="Cambria Math"/>
                <w:i/>
                <w:color w:val="000000" w:themeColor="text1"/>
                <w:sz w:val="22"/>
                <w:szCs w:val="26"/>
              </w:rPr>
            </m:ctrlPr>
          </m:naryPr>
          <m:sub>
            <m:r>
              <w:rPr>
                <w:rFonts w:ascii="Cambria Math" w:hAnsi="Cambria Math"/>
                <w:color w:val="000000" w:themeColor="text1"/>
                <w:sz w:val="22"/>
                <w:szCs w:val="26"/>
              </w:rPr>
              <m:t>j=1</m:t>
            </m:r>
          </m:sub>
          <m:sup>
            <m:r>
              <w:rPr>
                <w:rFonts w:ascii="Cambria Math" w:hAnsi="Cambria Math"/>
                <w:color w:val="000000" w:themeColor="text1"/>
                <w:sz w:val="22"/>
                <w:szCs w:val="26"/>
              </w:rPr>
              <m:t>n</m:t>
            </m:r>
          </m:sup>
          <m:e>
            <m:sSub>
              <m:sSubPr>
                <m:ctrlPr>
                  <w:rPr>
                    <w:rFonts w:ascii="Cambria Math" w:hAnsi="Cambria Math"/>
                    <w:i/>
                    <w:color w:val="000000" w:themeColor="text1"/>
                    <w:sz w:val="22"/>
                    <w:szCs w:val="26"/>
                  </w:rPr>
                </m:ctrlPr>
              </m:sSubPr>
              <m:e>
                <m:r>
                  <w:rPr>
                    <w:rFonts w:ascii="Cambria Math" w:hAnsi="Cambria Math"/>
                    <w:color w:val="000000" w:themeColor="text1"/>
                    <w:sz w:val="22"/>
                    <w:szCs w:val="26"/>
                  </w:rPr>
                  <m:t>α</m:t>
                </m:r>
              </m:e>
              <m:sub>
                <m:r>
                  <w:rPr>
                    <w:rFonts w:ascii="Cambria Math" w:hAnsi="Cambria Math"/>
                    <w:color w:val="000000" w:themeColor="text1"/>
                    <w:sz w:val="22"/>
                    <w:szCs w:val="26"/>
                  </w:rPr>
                  <m:t>ij</m:t>
                </m:r>
              </m:sub>
            </m:sSub>
            <m:sSub>
              <m:sSubPr>
                <m:ctrlPr>
                  <w:rPr>
                    <w:rFonts w:ascii="Cambria Math" w:hAnsi="Cambria Math"/>
                    <w:i/>
                    <w:color w:val="000000" w:themeColor="text1"/>
                    <w:sz w:val="22"/>
                    <w:szCs w:val="26"/>
                  </w:rPr>
                </m:ctrlPr>
              </m:sSubPr>
              <m:e>
                <m:r>
                  <w:rPr>
                    <w:rFonts w:ascii="Cambria Math" w:hAnsi="Cambria Math"/>
                    <w:color w:val="000000" w:themeColor="text1"/>
                    <w:sz w:val="22"/>
                    <w:szCs w:val="26"/>
                  </w:rPr>
                  <m:t>C</m:t>
                </m:r>
              </m:e>
              <m:sub>
                <m:r>
                  <w:rPr>
                    <w:rFonts w:ascii="Cambria Math" w:hAnsi="Cambria Math"/>
                    <w:color w:val="000000" w:themeColor="text1"/>
                    <w:sz w:val="22"/>
                    <w:szCs w:val="26"/>
                  </w:rPr>
                  <m:t>jt</m:t>
                </m:r>
              </m:sub>
            </m:sSub>
          </m:e>
        </m:nary>
      </m:oMath>
      <w:r w:rsidR="00861849" w:rsidRPr="007418EB">
        <w:rPr>
          <w:color w:val="000000" w:themeColor="text1"/>
          <w:sz w:val="22"/>
          <w:szCs w:val="26"/>
        </w:rPr>
        <w:tab/>
        <w:t>(3.13)</w:t>
      </w:r>
    </w:p>
    <w:p w:rsidR="00CB1844" w:rsidRPr="007418EB" w:rsidRDefault="00CA00E1" w:rsidP="00577E09">
      <w:pPr>
        <w:spacing w:after="0" w:line="340" w:lineRule="atLeast"/>
        <w:jc w:val="both"/>
        <w:rPr>
          <w:rFonts w:ascii="Times New Roman" w:eastAsia="Times New Roman" w:hAnsi="Times New Roman" w:cs="Times New Roman"/>
          <w:color w:val="000000" w:themeColor="text1"/>
          <w:sz w:val="27"/>
          <w:szCs w:val="27"/>
          <w:lang w:val="en-US"/>
        </w:rPr>
      </w:pPr>
      <m:oMath>
        <m:sSub>
          <m:sSubPr>
            <m:ctrlPr>
              <w:rPr>
                <w:rFonts w:ascii="Cambria Math" w:hAnsi="Cambria Math"/>
                <w:i/>
                <w:color w:val="000000" w:themeColor="text1"/>
                <w:szCs w:val="26"/>
              </w:rPr>
            </m:ctrlPr>
          </m:sSubPr>
          <m:e>
            <m:r>
              <w:rPr>
                <w:rFonts w:ascii="Cambria Math" w:hAnsi="Cambria Math"/>
                <w:color w:val="000000" w:themeColor="text1"/>
                <w:szCs w:val="26"/>
              </w:rPr>
              <m:t>β</m:t>
            </m:r>
          </m:e>
          <m:sub>
            <m:r>
              <w:rPr>
                <w:rFonts w:ascii="Cambria Math" w:hAnsi="Cambria Math"/>
                <w:color w:val="000000" w:themeColor="text1"/>
                <w:szCs w:val="26"/>
              </w:rPr>
              <m:t>it,2</m:t>
            </m:r>
          </m:sub>
        </m:sSub>
      </m:oMath>
      <w:r w:rsidR="00861849" w:rsidRPr="007418EB">
        <w:rPr>
          <w:rFonts w:ascii="Times New Roman" w:eastAsia="Times New Roman" w:hAnsi="Times New Roman" w:cs="Times New Roman"/>
          <w:color w:val="000000" w:themeColor="text1"/>
          <w:szCs w:val="26"/>
        </w:rPr>
        <w:t xml:space="preserve"> </w:t>
      </w:r>
      <w:r w:rsidR="00CB1844" w:rsidRPr="007418EB">
        <w:rPr>
          <w:rFonts w:ascii="Times New Roman" w:eastAsia="Times New Roman" w:hAnsi="Times New Roman" w:cs="Times New Roman"/>
          <w:color w:val="000000" w:themeColor="text1"/>
          <w:lang w:val="en-US"/>
        </w:rPr>
        <w:t xml:space="preserve">is the regression coefficient representing the </w:t>
      </w:r>
      <w:r w:rsidR="003A3C9A" w:rsidRPr="007418EB">
        <w:rPr>
          <w:rFonts w:ascii="Times New Roman" w:eastAsia="Times New Roman" w:hAnsi="Times New Roman" w:cs="Times New Roman"/>
          <w:color w:val="000000" w:themeColor="text1"/>
          <w:lang w:val="en-US"/>
        </w:rPr>
        <w:t>exchange rate exposure</w:t>
      </w:r>
      <w:r w:rsidR="00CB1844" w:rsidRPr="007418EB">
        <w:rPr>
          <w:rFonts w:ascii="Times New Roman" w:eastAsia="Times New Roman" w:hAnsi="Times New Roman" w:cs="Times New Roman"/>
          <w:color w:val="000000" w:themeColor="text1"/>
          <w:lang w:val="en-US"/>
        </w:rPr>
        <w:t xml:space="preserve"> of firm i.</w:t>
      </w:r>
      <w:r w:rsidR="00577E09" w:rsidRPr="007418EB">
        <w:rPr>
          <w:rFonts w:ascii="Times New Roman" w:eastAsia="Times New Roman" w:hAnsi="Times New Roman" w:cs="Times New Roman"/>
          <w:color w:val="000000" w:themeColor="text1"/>
          <w:lang w:val="en-US"/>
        </w:rPr>
        <w:t xml:space="preserve"> </w:t>
      </w:r>
      <w:r w:rsidR="001C2C2F" w:rsidRPr="007418EB">
        <w:rPr>
          <w:rFonts w:ascii="Times New Roman" w:hAnsi="Times New Roman" w:cs="Times New Roman"/>
          <w:color w:val="000000" w:themeColor="text1"/>
          <w:szCs w:val="26"/>
        </w:rPr>
        <w:t>C</w:t>
      </w:r>
      <w:r w:rsidR="001C2C2F" w:rsidRPr="007418EB">
        <w:rPr>
          <w:rFonts w:ascii="Times New Roman" w:hAnsi="Times New Roman" w:cs="Times New Roman"/>
          <w:color w:val="000000" w:themeColor="text1"/>
          <w:szCs w:val="26"/>
          <w:vertAlign w:val="subscript"/>
        </w:rPr>
        <w:t>j</w:t>
      </w:r>
      <w:r w:rsidR="001C2C2F" w:rsidRPr="007418EB">
        <w:rPr>
          <w:rFonts w:ascii="Times New Roman" w:hAnsi="Times New Roman" w:cs="Times New Roman"/>
          <w:color w:val="000000" w:themeColor="text1"/>
          <w:szCs w:val="26"/>
        </w:rPr>
        <w:t xml:space="preserve"> is</w:t>
      </w:r>
      <w:r w:rsidR="001C2C2F" w:rsidRPr="007418EB">
        <w:rPr>
          <w:color w:val="000000" w:themeColor="text1"/>
          <w:szCs w:val="26"/>
        </w:rPr>
        <w:t xml:space="preserve"> </w:t>
      </w:r>
      <w:r w:rsidR="00CB1844" w:rsidRPr="007418EB">
        <w:rPr>
          <w:rFonts w:ascii="Times New Roman" w:eastAsia="Times New Roman" w:hAnsi="Times New Roman" w:cs="Times New Roman"/>
          <w:color w:val="000000" w:themeColor="text1"/>
          <w:lang w:val="en-US"/>
        </w:rPr>
        <w:t>a set of variables belonging to the company characteristics including: </w:t>
      </w:r>
      <w:r w:rsidR="001C2C2F" w:rsidRPr="007418EB">
        <w:rPr>
          <w:rFonts w:ascii="Times New Roman" w:eastAsia="Times New Roman" w:hAnsi="Times New Roman" w:cs="Times New Roman"/>
          <w:color w:val="000000" w:themeColor="text1"/>
          <w:lang w:val="en-US"/>
        </w:rPr>
        <w:t>MV (market value)</w:t>
      </w:r>
      <w:r w:rsidR="00CB1844" w:rsidRPr="007418EB">
        <w:rPr>
          <w:rFonts w:ascii="Times New Roman" w:eastAsia="Times New Roman" w:hAnsi="Times New Roman" w:cs="Times New Roman"/>
          <w:color w:val="000000" w:themeColor="text1"/>
          <w:lang w:val="en-US"/>
        </w:rPr>
        <w:t>, DA (debt to asset ratio)</w:t>
      </w:r>
      <w:r w:rsidR="001C2C2F" w:rsidRPr="007418EB">
        <w:rPr>
          <w:rFonts w:ascii="Times New Roman" w:eastAsia="Times New Roman" w:hAnsi="Times New Roman" w:cs="Times New Roman"/>
          <w:color w:val="000000" w:themeColor="text1"/>
          <w:lang w:val="en-US"/>
        </w:rPr>
        <w:t>, MTBV (market to book ratio)</w:t>
      </w:r>
      <w:r w:rsidR="00CB1844" w:rsidRPr="007418EB">
        <w:rPr>
          <w:rFonts w:ascii="Times New Roman" w:eastAsia="Times New Roman" w:hAnsi="Times New Roman" w:cs="Times New Roman"/>
          <w:color w:val="000000" w:themeColor="text1"/>
          <w:lang w:val="en-US"/>
        </w:rPr>
        <w:t>, TR (turnover ratio): ratio between the number of traded shares compared to the tot</w:t>
      </w:r>
      <w:r w:rsidR="001C2C2F" w:rsidRPr="007418EB">
        <w:rPr>
          <w:rFonts w:ascii="Times New Roman" w:eastAsia="Times New Roman" w:hAnsi="Times New Roman" w:cs="Times New Roman"/>
          <w:color w:val="000000" w:themeColor="text1"/>
          <w:lang w:val="en-US"/>
        </w:rPr>
        <w:t>al number of outstanding shares</w:t>
      </w:r>
      <w:r w:rsidR="00CB1844" w:rsidRPr="007418EB">
        <w:rPr>
          <w:rFonts w:ascii="Times New Roman" w:eastAsia="Times New Roman" w:hAnsi="Times New Roman" w:cs="Times New Roman"/>
          <w:color w:val="000000" w:themeColor="text1"/>
          <w:lang w:val="en-US"/>
        </w:rPr>
        <w:t>, QR (quick ratio</w:t>
      </w:r>
      <w:r w:rsidR="001C2C2F" w:rsidRPr="007418EB">
        <w:rPr>
          <w:rFonts w:ascii="Times New Roman" w:eastAsia="Times New Roman" w:hAnsi="Times New Roman" w:cs="Times New Roman"/>
          <w:color w:val="000000" w:themeColor="text1"/>
          <w:lang w:val="en-US"/>
        </w:rPr>
        <w:t>)</w:t>
      </w:r>
      <w:r w:rsidR="00CB1844" w:rsidRPr="007418EB">
        <w:rPr>
          <w:rFonts w:ascii="Times New Roman" w:eastAsia="Times New Roman" w:hAnsi="Times New Roman" w:cs="Times New Roman"/>
          <w:color w:val="000000" w:themeColor="text1"/>
          <w:lang w:val="en-US"/>
        </w:rPr>
        <w:t>.</w:t>
      </w:r>
    </w:p>
    <w:p w:rsidR="001C2C2F" w:rsidRPr="007418EB" w:rsidRDefault="00CA00E1" w:rsidP="001C2C2F">
      <w:pPr>
        <w:pStyle w:val="ListParagraph"/>
        <w:tabs>
          <w:tab w:val="right" w:pos="9027"/>
        </w:tabs>
        <w:spacing w:line="340" w:lineRule="exact"/>
        <w:ind w:left="709"/>
        <w:contextualSpacing w:val="0"/>
        <w:jc w:val="center"/>
        <w:rPr>
          <w:color w:val="000000" w:themeColor="text1"/>
          <w:sz w:val="22"/>
          <w:szCs w:val="26"/>
        </w:rPr>
      </w:pPr>
      <m:oMath>
        <m:sSub>
          <m:sSubPr>
            <m:ctrlPr>
              <w:rPr>
                <w:rFonts w:ascii="Cambria Math" w:hAnsi="Cambria Math"/>
                <w:i/>
                <w:color w:val="000000" w:themeColor="text1"/>
                <w:sz w:val="22"/>
                <w:szCs w:val="26"/>
              </w:rPr>
            </m:ctrlPr>
          </m:sSubPr>
          <m:e>
            <m:r>
              <w:rPr>
                <w:rFonts w:ascii="Cambria Math" w:hAnsi="Cambria Math"/>
                <w:color w:val="000000" w:themeColor="text1"/>
                <w:sz w:val="22"/>
                <w:szCs w:val="26"/>
              </w:rPr>
              <m:t>β</m:t>
            </m:r>
          </m:e>
          <m:sub>
            <m:r>
              <w:rPr>
                <w:rFonts w:ascii="Cambria Math" w:hAnsi="Cambria Math"/>
                <w:color w:val="000000" w:themeColor="text1"/>
                <w:sz w:val="22"/>
                <w:szCs w:val="26"/>
              </w:rPr>
              <m:t>i,t</m:t>
            </m:r>
          </m:sub>
        </m:sSub>
        <m:r>
          <w:rPr>
            <w:rFonts w:ascii="Cambria Math" w:hAnsi="Cambria Math"/>
            <w:color w:val="000000" w:themeColor="text1"/>
            <w:sz w:val="22"/>
            <w:szCs w:val="26"/>
          </w:rPr>
          <m:t>=</m:t>
        </m:r>
        <m:sSub>
          <m:sSubPr>
            <m:ctrlPr>
              <w:rPr>
                <w:rFonts w:ascii="Cambria Math" w:hAnsi="Cambria Math"/>
                <w:i/>
                <w:color w:val="000000" w:themeColor="text1"/>
                <w:sz w:val="22"/>
                <w:szCs w:val="26"/>
              </w:rPr>
            </m:ctrlPr>
          </m:sSubPr>
          <m:e>
            <m:r>
              <w:rPr>
                <w:rFonts w:ascii="Cambria Math" w:hAnsi="Cambria Math"/>
                <w:color w:val="000000" w:themeColor="text1"/>
                <w:sz w:val="22"/>
                <w:szCs w:val="26"/>
              </w:rPr>
              <m:t>α</m:t>
            </m:r>
          </m:e>
          <m:sub>
            <m:r>
              <w:rPr>
                <w:rFonts w:ascii="Cambria Math" w:hAnsi="Cambria Math"/>
                <w:color w:val="000000" w:themeColor="text1"/>
                <w:sz w:val="22"/>
                <w:szCs w:val="26"/>
              </w:rPr>
              <m:t>i0</m:t>
            </m:r>
          </m:sub>
        </m:sSub>
        <m:r>
          <w:rPr>
            <w:rFonts w:ascii="Cambria Math" w:hAnsi="Cambria Math"/>
            <w:color w:val="000000" w:themeColor="text1"/>
            <w:sz w:val="22"/>
            <w:szCs w:val="26"/>
          </w:rPr>
          <m:t>+</m:t>
        </m:r>
        <m:nary>
          <m:naryPr>
            <m:chr m:val="∑"/>
            <m:limLoc m:val="undOvr"/>
            <m:ctrlPr>
              <w:rPr>
                <w:rFonts w:ascii="Cambria Math" w:hAnsi="Cambria Math"/>
                <w:i/>
                <w:color w:val="000000" w:themeColor="text1"/>
                <w:sz w:val="22"/>
                <w:szCs w:val="26"/>
              </w:rPr>
            </m:ctrlPr>
          </m:naryPr>
          <m:sub>
            <m:r>
              <w:rPr>
                <w:rFonts w:ascii="Cambria Math" w:hAnsi="Cambria Math"/>
                <w:color w:val="000000" w:themeColor="text1"/>
                <w:sz w:val="22"/>
                <w:szCs w:val="26"/>
              </w:rPr>
              <m:t>j=1</m:t>
            </m:r>
          </m:sub>
          <m:sup>
            <m:r>
              <w:rPr>
                <w:rFonts w:ascii="Cambria Math" w:hAnsi="Cambria Math"/>
                <w:color w:val="000000" w:themeColor="text1"/>
                <w:sz w:val="22"/>
                <w:szCs w:val="26"/>
              </w:rPr>
              <m:t>n</m:t>
            </m:r>
          </m:sup>
          <m:e>
            <m:sSub>
              <m:sSubPr>
                <m:ctrlPr>
                  <w:rPr>
                    <w:rFonts w:ascii="Cambria Math" w:hAnsi="Cambria Math"/>
                    <w:i/>
                    <w:color w:val="000000" w:themeColor="text1"/>
                    <w:sz w:val="22"/>
                    <w:szCs w:val="26"/>
                  </w:rPr>
                </m:ctrlPr>
              </m:sSubPr>
              <m:e>
                <m:r>
                  <w:rPr>
                    <w:rFonts w:ascii="Cambria Math" w:hAnsi="Cambria Math"/>
                    <w:color w:val="000000" w:themeColor="text1"/>
                    <w:sz w:val="22"/>
                    <w:szCs w:val="26"/>
                  </w:rPr>
                  <m:t>α</m:t>
                </m:r>
              </m:e>
              <m:sub>
                <m:r>
                  <w:rPr>
                    <w:rFonts w:ascii="Cambria Math" w:hAnsi="Cambria Math"/>
                    <w:color w:val="000000" w:themeColor="text1"/>
                    <w:sz w:val="22"/>
                    <w:szCs w:val="26"/>
                  </w:rPr>
                  <m:t>ij</m:t>
                </m:r>
              </m:sub>
            </m:sSub>
            <m:sSub>
              <m:sSubPr>
                <m:ctrlPr>
                  <w:rPr>
                    <w:rFonts w:ascii="Cambria Math" w:hAnsi="Cambria Math"/>
                    <w:i/>
                    <w:color w:val="000000" w:themeColor="text1"/>
                    <w:sz w:val="22"/>
                    <w:szCs w:val="26"/>
                  </w:rPr>
                </m:ctrlPr>
              </m:sSubPr>
              <m:e>
                <m:r>
                  <w:rPr>
                    <w:rFonts w:ascii="Cambria Math" w:hAnsi="Cambria Math"/>
                    <w:color w:val="000000" w:themeColor="text1"/>
                    <w:sz w:val="22"/>
                    <w:szCs w:val="26"/>
                  </w:rPr>
                  <m:t>C</m:t>
                </m:r>
              </m:e>
              <m:sub>
                <m:r>
                  <w:rPr>
                    <w:rFonts w:ascii="Cambria Math" w:hAnsi="Cambria Math"/>
                    <w:color w:val="000000" w:themeColor="text1"/>
                    <w:sz w:val="22"/>
                    <w:szCs w:val="26"/>
                  </w:rPr>
                  <m:t>jt</m:t>
                </m:r>
              </m:sub>
            </m:sSub>
          </m:e>
        </m:nary>
      </m:oMath>
      <w:r w:rsidR="001C2C2F" w:rsidRPr="007418EB">
        <w:rPr>
          <w:color w:val="000000" w:themeColor="text1"/>
          <w:sz w:val="22"/>
          <w:szCs w:val="26"/>
        </w:rPr>
        <w:tab/>
        <w:t>(3.14)</w:t>
      </w:r>
    </w:p>
    <w:p w:rsidR="00CB1844" w:rsidRPr="007418EB" w:rsidRDefault="00CB1844" w:rsidP="00577E09">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color w:val="000000" w:themeColor="text1"/>
          <w:lang w:val="en-US"/>
        </w:rPr>
        <w:t>the dependent variable</w:t>
      </w:r>
      <w:r w:rsidR="00A856E3" w:rsidRPr="007418EB">
        <w:rPr>
          <w:rFonts w:ascii="Times New Roman" w:eastAsia="Times New Roman" w:hAnsi="Times New Roman" w:cs="Times New Roman"/>
          <w:color w:val="000000" w:themeColor="text1"/>
          <w:lang w:val="en-US"/>
        </w:rPr>
        <w:t xml:space="preserve"> </w:t>
      </w:r>
      <m:oMath>
        <m:sSub>
          <m:sSubPr>
            <m:ctrlPr>
              <w:rPr>
                <w:rFonts w:ascii="Cambria Math" w:hAnsi="Cambria Math"/>
                <w:i/>
                <w:color w:val="000000" w:themeColor="text1"/>
                <w:szCs w:val="26"/>
              </w:rPr>
            </m:ctrlPr>
          </m:sSubPr>
          <m:e>
            <m:r>
              <w:rPr>
                <w:rFonts w:ascii="Cambria Math" w:hAnsi="Cambria Math"/>
                <w:color w:val="000000" w:themeColor="text1"/>
                <w:szCs w:val="26"/>
              </w:rPr>
              <m:t>β</m:t>
            </m:r>
          </m:e>
          <m:sub>
            <m:r>
              <w:rPr>
                <w:rFonts w:ascii="Cambria Math" w:hAnsi="Cambria Math"/>
                <w:color w:val="000000" w:themeColor="text1"/>
                <w:szCs w:val="26"/>
              </w:rPr>
              <m:t>it</m:t>
            </m:r>
          </m:sub>
        </m:sSub>
      </m:oMath>
      <w:r w:rsidRPr="007418EB">
        <w:rPr>
          <w:rFonts w:ascii="Times New Roman" w:eastAsia="Times New Roman" w:hAnsi="Times New Roman" w:cs="Times New Roman"/>
          <w:color w:val="000000" w:themeColor="text1"/>
          <w:sz w:val="18"/>
          <w:lang w:val="en-US"/>
        </w:rPr>
        <w:t> </w:t>
      </w:r>
      <w:r w:rsidRPr="007418EB">
        <w:rPr>
          <w:rFonts w:ascii="Times New Roman" w:eastAsia="Times New Roman" w:hAnsi="Times New Roman" w:cs="Times New Roman"/>
          <w:color w:val="000000" w:themeColor="text1"/>
          <w:lang w:val="en-US"/>
        </w:rPr>
        <w:t xml:space="preserve">is a dummy variable representing the company with or without </w:t>
      </w:r>
      <w:r w:rsidR="00A856E3" w:rsidRPr="007418EB">
        <w:rPr>
          <w:rFonts w:ascii="Times New Roman" w:eastAsia="Times New Roman" w:hAnsi="Times New Roman" w:cs="Times New Roman"/>
          <w:color w:val="000000" w:themeColor="text1"/>
          <w:lang w:val="en-US"/>
        </w:rPr>
        <w:t>exchange rate exposure</w:t>
      </w:r>
      <w:r w:rsidRPr="007418EB">
        <w:rPr>
          <w:rFonts w:ascii="Times New Roman" w:eastAsia="Times New Roman" w:hAnsi="Times New Roman" w:cs="Times New Roman"/>
          <w:color w:val="000000" w:themeColor="text1"/>
          <w:lang w:val="en-US"/>
        </w:rPr>
        <w:t>, which in particular</w:t>
      </w:r>
      <w:r w:rsidR="00A856E3" w:rsidRPr="007418EB">
        <w:rPr>
          <w:rFonts w:ascii="Times New Roman" w:eastAsia="Times New Roman" w:hAnsi="Times New Roman" w:cs="Times New Roman"/>
          <w:color w:val="000000" w:themeColor="text1"/>
          <w:lang w:val="en-US"/>
        </w:rPr>
        <w:t xml:space="preserve"> </w:t>
      </w:r>
      <m:oMath>
        <m:sSub>
          <m:sSubPr>
            <m:ctrlPr>
              <w:rPr>
                <w:rFonts w:ascii="Cambria Math" w:hAnsi="Cambria Math"/>
                <w:i/>
                <w:color w:val="000000" w:themeColor="text1"/>
                <w:szCs w:val="26"/>
              </w:rPr>
            </m:ctrlPr>
          </m:sSubPr>
          <m:e>
            <m:r>
              <w:rPr>
                <w:rFonts w:ascii="Cambria Math" w:hAnsi="Cambria Math"/>
                <w:color w:val="000000" w:themeColor="text1"/>
                <w:szCs w:val="26"/>
              </w:rPr>
              <m:t>β</m:t>
            </m:r>
          </m:e>
          <m:sub>
            <m:r>
              <w:rPr>
                <w:rFonts w:ascii="Cambria Math" w:hAnsi="Cambria Math"/>
                <w:color w:val="000000" w:themeColor="text1"/>
                <w:szCs w:val="26"/>
              </w:rPr>
              <m:t>it</m:t>
            </m:r>
          </m:sub>
        </m:sSub>
      </m:oMath>
      <w:r w:rsidRPr="007418EB">
        <w:rPr>
          <w:rFonts w:ascii="Times New Roman" w:eastAsia="Times New Roman" w:hAnsi="Times New Roman" w:cs="Times New Roman"/>
          <w:color w:val="000000" w:themeColor="text1"/>
          <w:lang w:val="en-US"/>
        </w:rPr>
        <w:t> will receive a value of 1 wh</w:t>
      </w:r>
      <w:r w:rsidR="001C2C2F" w:rsidRPr="007418EB">
        <w:rPr>
          <w:rFonts w:ascii="Times New Roman" w:eastAsia="Times New Roman" w:hAnsi="Times New Roman" w:cs="Times New Roman"/>
          <w:color w:val="000000" w:themeColor="text1"/>
          <w:lang w:val="en-US"/>
        </w:rPr>
        <w:t>en the regression coefficient β</w:t>
      </w:r>
      <w:r w:rsidRPr="007418EB">
        <w:rPr>
          <w:rFonts w:ascii="Times New Roman" w:eastAsia="Times New Roman" w:hAnsi="Times New Roman" w:cs="Times New Roman"/>
          <w:color w:val="000000" w:themeColor="text1"/>
          <w:sz w:val="15"/>
          <w:szCs w:val="15"/>
          <w:vertAlign w:val="subscript"/>
          <w:lang w:val="en-US"/>
        </w:rPr>
        <w:t>2 </w:t>
      </w:r>
      <w:r w:rsidR="001C2C2F" w:rsidRPr="007418EB">
        <w:rPr>
          <w:rFonts w:ascii="Times New Roman" w:eastAsia="Times New Roman" w:hAnsi="Times New Roman" w:cs="Times New Roman"/>
          <w:color w:val="000000" w:themeColor="text1"/>
          <w:sz w:val="15"/>
          <w:szCs w:val="15"/>
          <w:vertAlign w:val="subscript"/>
          <w:lang w:val="en-US"/>
        </w:rPr>
        <w:t xml:space="preserve"> </w:t>
      </w:r>
      <w:r w:rsidR="001C2C2F" w:rsidRPr="007418EB">
        <w:rPr>
          <w:rFonts w:ascii="Times New Roman" w:eastAsia="Times New Roman" w:hAnsi="Times New Roman" w:cs="Times New Roman"/>
          <w:color w:val="000000" w:themeColor="text1"/>
          <w:lang w:val="en-US"/>
        </w:rPr>
        <w:t>or β</w:t>
      </w:r>
      <w:r w:rsidRPr="007418EB">
        <w:rPr>
          <w:rFonts w:ascii="Times New Roman" w:eastAsia="Times New Roman" w:hAnsi="Times New Roman" w:cs="Times New Roman"/>
          <w:color w:val="000000" w:themeColor="text1"/>
          <w:sz w:val="15"/>
          <w:szCs w:val="15"/>
          <w:vertAlign w:val="subscript"/>
          <w:lang w:val="en-US"/>
        </w:rPr>
        <w:t>3</w:t>
      </w:r>
      <w:r w:rsidR="001C2C2F" w:rsidRPr="007418EB">
        <w:rPr>
          <w:rFonts w:ascii="Times New Roman" w:eastAsia="Times New Roman" w:hAnsi="Times New Roman" w:cs="Times New Roman"/>
          <w:color w:val="000000" w:themeColor="text1"/>
          <w:sz w:val="15"/>
          <w:szCs w:val="15"/>
          <w:vertAlign w:val="subscript"/>
          <w:lang w:val="en-US"/>
        </w:rPr>
        <w:t xml:space="preserve"> </w:t>
      </w:r>
      <w:r w:rsidRPr="007418EB">
        <w:rPr>
          <w:rFonts w:ascii="Times New Roman" w:eastAsia="Times New Roman" w:hAnsi="Times New Roman" w:cs="Times New Roman"/>
          <w:color w:val="000000" w:themeColor="text1"/>
          <w:sz w:val="15"/>
          <w:szCs w:val="15"/>
          <w:vertAlign w:val="subscript"/>
          <w:lang w:val="en-US"/>
        </w:rPr>
        <w:t> </w:t>
      </w:r>
      <w:r w:rsidRPr="007418EB">
        <w:rPr>
          <w:rFonts w:ascii="Times New Roman" w:eastAsia="Times New Roman" w:hAnsi="Times New Roman" w:cs="Times New Roman"/>
          <w:color w:val="000000" w:themeColor="text1"/>
          <w:lang w:val="en-US"/>
        </w:rPr>
        <w:t xml:space="preserve">of the equation (3.11) with </w:t>
      </w:r>
      <w:r w:rsidR="001C2C2F" w:rsidRPr="007418EB">
        <w:rPr>
          <w:rFonts w:ascii="Times New Roman" w:eastAsia="Times New Roman" w:hAnsi="Times New Roman" w:cs="Times New Roman"/>
          <w:color w:val="000000" w:themeColor="text1"/>
          <w:lang w:val="en-US"/>
        </w:rPr>
        <w:t>s</w:t>
      </w:r>
      <w:r w:rsidRPr="007418EB">
        <w:rPr>
          <w:rFonts w:ascii="Times New Roman" w:eastAsia="Times New Roman" w:hAnsi="Times New Roman" w:cs="Times New Roman"/>
          <w:color w:val="000000" w:themeColor="text1"/>
          <w:lang w:val="en-US"/>
        </w:rPr>
        <w:t>tatistical significance and the value of 0 when both regression coefficients are not statistically significant.</w:t>
      </w:r>
    </w:p>
    <w:p w:rsidR="00CB1844" w:rsidRPr="007418EB" w:rsidRDefault="00CB1844"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b/>
          <w:bCs/>
          <w:color w:val="000000" w:themeColor="text1"/>
          <w:lang w:val="en-US"/>
        </w:rPr>
        <w:t>3.3 Method of estimating models</w:t>
      </w:r>
    </w:p>
    <w:p w:rsidR="00CB1844" w:rsidRPr="007418EB" w:rsidRDefault="00CB1844" w:rsidP="00CB1844">
      <w:pPr>
        <w:spacing w:after="0" w:line="340" w:lineRule="atLeast"/>
        <w:jc w:val="both"/>
        <w:rPr>
          <w:rFonts w:ascii="Times New Roman" w:eastAsia="Times New Roman" w:hAnsi="Times New Roman" w:cs="Times New Roman"/>
          <w:b/>
          <w:bCs/>
          <w:color w:val="000000" w:themeColor="text1"/>
          <w:lang w:val="en-US"/>
        </w:rPr>
      </w:pPr>
      <w:r w:rsidRPr="007418EB">
        <w:rPr>
          <w:rFonts w:ascii="Times New Roman" w:eastAsia="Times New Roman" w:hAnsi="Times New Roman" w:cs="Times New Roman"/>
          <w:b/>
          <w:bCs/>
          <w:color w:val="000000" w:themeColor="text1"/>
          <w:lang w:val="en-US"/>
        </w:rPr>
        <w:t>3.3.1 Estimate</w:t>
      </w:r>
      <w:r w:rsidR="00CA0173" w:rsidRPr="007418EB">
        <w:rPr>
          <w:rFonts w:ascii="Times New Roman" w:eastAsia="Times New Roman" w:hAnsi="Times New Roman" w:cs="Times New Roman"/>
          <w:b/>
          <w:bCs/>
          <w:color w:val="000000" w:themeColor="text1"/>
          <w:lang w:val="en-US"/>
        </w:rPr>
        <w:t xml:space="preserve">d rate sensitivity level market: </w:t>
      </w:r>
      <w:r w:rsidR="00A856E3" w:rsidRPr="007418EB">
        <w:rPr>
          <w:rFonts w:ascii="Times New Roman" w:eastAsia="Times New Roman" w:hAnsi="Times New Roman" w:cs="Times New Roman"/>
          <w:color w:val="000000" w:themeColor="text1"/>
          <w:lang w:val="en-US"/>
        </w:rPr>
        <w:t>using</w:t>
      </w:r>
      <w:r w:rsidRPr="007418EB">
        <w:rPr>
          <w:rFonts w:ascii="Times New Roman" w:eastAsia="Times New Roman" w:hAnsi="Times New Roman" w:cs="Times New Roman"/>
          <w:color w:val="000000" w:themeColor="text1"/>
          <w:lang w:val="en-US"/>
        </w:rPr>
        <w:t xml:space="preserve"> GLS </w:t>
      </w:r>
      <w:r w:rsidR="00A856E3" w:rsidRPr="007418EB">
        <w:rPr>
          <w:rFonts w:ascii="Times New Roman" w:eastAsia="Times New Roman" w:hAnsi="Times New Roman" w:cs="Times New Roman"/>
          <w:color w:val="000000" w:themeColor="text1"/>
          <w:lang w:val="en-US"/>
        </w:rPr>
        <w:t>method (Generalized Least Squares) and D</w:t>
      </w:r>
      <w:r w:rsidRPr="007418EB">
        <w:rPr>
          <w:rFonts w:ascii="Times New Roman" w:eastAsia="Times New Roman" w:hAnsi="Times New Roman" w:cs="Times New Roman"/>
          <w:color w:val="000000" w:themeColor="text1"/>
          <w:lang w:val="en-US"/>
        </w:rPr>
        <w:t>GMM (</w:t>
      </w:r>
      <w:r w:rsidR="00A856E3" w:rsidRPr="007418EB">
        <w:rPr>
          <w:rFonts w:ascii="Times New Roman" w:eastAsia="Times New Roman" w:hAnsi="Times New Roman" w:cs="Times New Roman"/>
          <w:color w:val="000000" w:themeColor="text1"/>
          <w:lang w:val="en-US"/>
        </w:rPr>
        <w:t xml:space="preserve">Dynamic </w:t>
      </w:r>
      <w:r w:rsidRPr="007418EB">
        <w:rPr>
          <w:rFonts w:ascii="Times New Roman" w:eastAsia="Times New Roman" w:hAnsi="Times New Roman" w:cs="Times New Roman"/>
          <w:color w:val="000000" w:themeColor="text1"/>
          <w:lang w:val="en-US"/>
        </w:rPr>
        <w:t>Generalized method of moments).</w:t>
      </w:r>
    </w:p>
    <w:p w:rsidR="00A856E3" w:rsidRPr="007418EB" w:rsidRDefault="00CB1844" w:rsidP="00CB1844">
      <w:pPr>
        <w:spacing w:after="0" w:line="340" w:lineRule="atLeast"/>
        <w:jc w:val="both"/>
        <w:rPr>
          <w:rFonts w:ascii="Times New Roman" w:eastAsia="Times New Roman" w:hAnsi="Times New Roman" w:cs="Times New Roman"/>
          <w:color w:val="000000" w:themeColor="text1"/>
          <w:lang w:val="en-US"/>
        </w:rPr>
      </w:pPr>
      <w:r w:rsidRPr="007418EB">
        <w:rPr>
          <w:rFonts w:ascii="Times New Roman" w:eastAsia="Times New Roman" w:hAnsi="Times New Roman" w:cs="Times New Roman"/>
          <w:b/>
          <w:bCs/>
          <w:color w:val="000000" w:themeColor="text1"/>
          <w:lang w:val="en-US"/>
        </w:rPr>
        <w:lastRenderedPageBreak/>
        <w:t>3.3.2 Estimating the sensitivity</w:t>
      </w:r>
      <w:r w:rsidR="00CA0173" w:rsidRPr="007418EB">
        <w:rPr>
          <w:rFonts w:ascii="Times New Roman" w:eastAsia="Times New Roman" w:hAnsi="Times New Roman" w:cs="Times New Roman"/>
          <w:b/>
          <w:bCs/>
          <w:color w:val="000000" w:themeColor="text1"/>
          <w:lang w:val="en-US"/>
        </w:rPr>
        <w:t xml:space="preserve"> of exchange rate at firm level</w:t>
      </w:r>
      <w:r w:rsidRPr="007418EB">
        <w:rPr>
          <w:rFonts w:ascii="Times New Roman" w:eastAsia="Times New Roman" w:hAnsi="Times New Roman" w:cs="Times New Roman"/>
          <w:b/>
          <w:bCs/>
          <w:color w:val="000000" w:themeColor="text1"/>
          <w:lang w:val="en-US"/>
        </w:rPr>
        <w:t>: </w:t>
      </w:r>
      <w:r w:rsidR="00A856E3" w:rsidRPr="007418EB">
        <w:rPr>
          <w:rFonts w:ascii="Times New Roman" w:eastAsia="Times New Roman" w:hAnsi="Times New Roman" w:cs="Times New Roman"/>
          <w:color w:val="000000" w:themeColor="text1"/>
          <w:lang w:val="en-US"/>
        </w:rPr>
        <w:t xml:space="preserve">using </w:t>
      </w:r>
      <w:r w:rsidRPr="007418EB">
        <w:rPr>
          <w:rFonts w:ascii="Times New Roman" w:eastAsia="Times New Roman" w:hAnsi="Times New Roman" w:cs="Times New Roman"/>
          <w:color w:val="000000" w:themeColor="text1"/>
          <w:lang w:val="en-US"/>
        </w:rPr>
        <w:t xml:space="preserve">GARCH (Generalised Autoregressive </w:t>
      </w:r>
      <w:r w:rsidR="00A856E3" w:rsidRPr="007418EB">
        <w:rPr>
          <w:rFonts w:ascii="Times New Roman" w:eastAsia="Times New Roman" w:hAnsi="Times New Roman" w:cs="Times New Roman"/>
          <w:color w:val="000000" w:themeColor="text1"/>
          <w:lang w:val="en-US"/>
        </w:rPr>
        <w:t>Conditional Heteroskedasticity) model</w:t>
      </w:r>
      <w:r w:rsidR="00F40D43" w:rsidRPr="007418EB">
        <w:rPr>
          <w:rFonts w:ascii="Times New Roman" w:eastAsia="Times New Roman" w:hAnsi="Times New Roman" w:cs="Times New Roman"/>
          <w:color w:val="000000" w:themeColor="text1"/>
          <w:lang w:val="en-US"/>
        </w:rPr>
        <w:t>.</w:t>
      </w:r>
    </w:p>
    <w:p w:rsidR="00CB1844" w:rsidRPr="007418EB" w:rsidRDefault="00CB1844"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b/>
          <w:bCs/>
          <w:color w:val="000000" w:themeColor="text1"/>
          <w:lang w:val="en-US"/>
        </w:rPr>
        <w:t xml:space="preserve">3.3.3 Estimation of the factors affecting the </w:t>
      </w:r>
      <w:r w:rsidR="003A3C9A" w:rsidRPr="007418EB">
        <w:rPr>
          <w:rFonts w:ascii="Times New Roman" w:eastAsia="Times New Roman" w:hAnsi="Times New Roman" w:cs="Times New Roman"/>
          <w:b/>
          <w:bCs/>
          <w:color w:val="000000" w:themeColor="text1"/>
          <w:lang w:val="en-US"/>
        </w:rPr>
        <w:t>exchange rate exposure</w:t>
      </w:r>
      <w:r w:rsidRPr="007418EB">
        <w:rPr>
          <w:rFonts w:ascii="Times New Roman" w:eastAsia="Times New Roman" w:hAnsi="Times New Roman" w:cs="Times New Roman"/>
          <w:b/>
          <w:bCs/>
          <w:color w:val="000000" w:themeColor="text1"/>
          <w:lang w:val="en-US"/>
        </w:rPr>
        <w:t>: </w:t>
      </w:r>
      <w:r w:rsidRPr="007418EB">
        <w:rPr>
          <w:rFonts w:ascii="Times New Roman" w:eastAsia="Times New Roman" w:hAnsi="Times New Roman" w:cs="Times New Roman"/>
          <w:color w:val="000000" w:themeColor="text1"/>
          <w:lang w:val="en-US"/>
        </w:rPr>
        <w:t>using </w:t>
      </w:r>
      <w:r w:rsidR="00A856E3" w:rsidRPr="007418EB">
        <w:rPr>
          <w:rFonts w:ascii="Times New Roman" w:eastAsia="Times New Roman" w:hAnsi="Times New Roman" w:cs="Times New Roman"/>
          <w:color w:val="000000" w:themeColor="text1"/>
          <w:lang w:val="en-US"/>
        </w:rPr>
        <w:t xml:space="preserve">panel data </w:t>
      </w:r>
      <w:r w:rsidRPr="007418EB">
        <w:rPr>
          <w:rFonts w:ascii="Times New Roman" w:eastAsia="Times New Roman" w:hAnsi="Times New Roman" w:cs="Times New Roman"/>
          <w:color w:val="000000" w:themeColor="text1"/>
          <w:lang w:val="en-US"/>
        </w:rPr>
        <w:t>regression model</w:t>
      </w:r>
      <w:r w:rsidR="00C70F9B" w:rsidRPr="007418EB">
        <w:rPr>
          <w:rFonts w:ascii="Times New Roman" w:eastAsia="Times New Roman" w:hAnsi="Times New Roman" w:cs="Times New Roman"/>
          <w:color w:val="000000" w:themeColor="text1"/>
          <w:lang w:val="en-US"/>
        </w:rPr>
        <w:t>s</w:t>
      </w:r>
      <w:r w:rsidRPr="007418EB">
        <w:rPr>
          <w:rFonts w:ascii="Times New Roman" w:eastAsia="Times New Roman" w:hAnsi="Times New Roman" w:cs="Times New Roman"/>
          <w:color w:val="000000" w:themeColor="text1"/>
          <w:lang w:val="en-US"/>
        </w:rPr>
        <w:t xml:space="preserve"> </w:t>
      </w:r>
      <w:r w:rsidR="00C70F9B" w:rsidRPr="007418EB">
        <w:rPr>
          <w:rFonts w:ascii="Times New Roman" w:eastAsia="Times New Roman" w:hAnsi="Times New Roman" w:cs="Times New Roman"/>
          <w:color w:val="000000" w:themeColor="text1"/>
          <w:lang w:val="en-US"/>
        </w:rPr>
        <w:t>and logistic model</w:t>
      </w:r>
      <w:r w:rsidRPr="007418EB">
        <w:rPr>
          <w:rFonts w:ascii="Times New Roman" w:eastAsia="Times New Roman" w:hAnsi="Times New Roman" w:cs="Times New Roman"/>
          <w:color w:val="000000" w:themeColor="text1"/>
          <w:lang w:val="en-US"/>
        </w:rPr>
        <w:t>.</w:t>
      </w:r>
    </w:p>
    <w:p w:rsidR="00CB1844" w:rsidRPr="007418EB" w:rsidRDefault="00CB1844"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b/>
          <w:bCs/>
          <w:color w:val="000000" w:themeColor="text1"/>
          <w:lang w:val="en-US"/>
        </w:rPr>
        <w:t>CHAPTER 4. RESULTS OF RESEARCH</w:t>
      </w:r>
    </w:p>
    <w:p w:rsidR="00CB1844" w:rsidRPr="007418EB" w:rsidRDefault="00CB1844"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b/>
          <w:bCs/>
          <w:color w:val="000000" w:themeColor="text1"/>
          <w:lang w:val="en-US"/>
        </w:rPr>
        <w:t>4.1 </w:t>
      </w:r>
      <w:r w:rsidR="004A70D6" w:rsidRPr="007418EB">
        <w:rPr>
          <w:rFonts w:ascii="Times New Roman" w:eastAsia="Times New Roman" w:hAnsi="Times New Roman" w:cs="Times New Roman"/>
          <w:b/>
          <w:bCs/>
          <w:color w:val="000000" w:themeColor="text1"/>
          <w:lang w:val="en-US"/>
        </w:rPr>
        <w:t>Exchange rate exposure</w:t>
      </w:r>
      <w:r w:rsidRPr="007418EB">
        <w:rPr>
          <w:rFonts w:ascii="Times New Roman" w:eastAsia="Times New Roman" w:hAnsi="Times New Roman" w:cs="Times New Roman"/>
          <w:b/>
          <w:bCs/>
          <w:color w:val="000000" w:themeColor="text1"/>
          <w:lang w:val="en-US"/>
        </w:rPr>
        <w:t xml:space="preserve"> at market level</w:t>
      </w:r>
    </w:p>
    <w:p w:rsidR="00CB1844" w:rsidRPr="007418EB" w:rsidRDefault="00CA0173" w:rsidP="00CB1844">
      <w:pPr>
        <w:spacing w:after="0" w:line="340" w:lineRule="atLeast"/>
        <w:jc w:val="both"/>
        <w:rPr>
          <w:rFonts w:ascii="Times New Roman" w:eastAsia="Times New Roman" w:hAnsi="Times New Roman" w:cs="Times New Roman"/>
          <w:color w:val="000000" w:themeColor="text1"/>
          <w:sz w:val="27"/>
          <w:szCs w:val="27"/>
          <w:lang w:val="en-US"/>
        </w:rPr>
      </w:pPr>
      <w:bookmarkStart w:id="12" w:name="_Toc24281236"/>
      <w:r w:rsidRPr="007418EB">
        <w:rPr>
          <w:rFonts w:ascii="Times New Roman" w:eastAsia="Times New Roman" w:hAnsi="Times New Roman" w:cs="Times New Roman"/>
          <w:b/>
          <w:bCs/>
          <w:color w:val="000000" w:themeColor="text1"/>
          <w:lang w:val="en-US"/>
        </w:rPr>
        <w:t>Table 4.</w:t>
      </w:r>
      <w:r w:rsidR="00CB1844" w:rsidRPr="007418EB">
        <w:rPr>
          <w:rFonts w:ascii="Times New Roman" w:eastAsia="Times New Roman" w:hAnsi="Times New Roman" w:cs="Times New Roman"/>
          <w:b/>
          <w:bCs/>
          <w:color w:val="000000" w:themeColor="text1"/>
          <w:lang w:val="en-US"/>
        </w:rPr>
        <w:t>4 Regression results (3.4) by the GLS method</w:t>
      </w:r>
      <w:bookmarkEnd w:id="12"/>
    </w:p>
    <w:tbl>
      <w:tblPr>
        <w:tblW w:w="0" w:type="auto"/>
        <w:jc w:val="center"/>
        <w:tblCellMar>
          <w:left w:w="0" w:type="dxa"/>
          <w:right w:w="0" w:type="dxa"/>
        </w:tblCellMar>
        <w:tblLook w:val="04A0" w:firstRow="1" w:lastRow="0" w:firstColumn="1" w:lastColumn="0" w:noHBand="0" w:noVBand="1"/>
      </w:tblPr>
      <w:tblGrid>
        <w:gridCol w:w="1137"/>
        <w:gridCol w:w="1486"/>
        <w:gridCol w:w="1476"/>
        <w:gridCol w:w="1031"/>
        <w:gridCol w:w="872"/>
      </w:tblGrid>
      <w:tr w:rsidR="007418EB" w:rsidRPr="007418EB" w:rsidTr="00CB1844">
        <w:trPr>
          <w:jc w:val="center"/>
        </w:trPr>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79" w:line="240" w:lineRule="auto"/>
              <w:ind w:right="85"/>
              <w:jc w:val="center"/>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b/>
                <w:bCs/>
                <w:color w:val="000000" w:themeColor="text1"/>
                <w:sz w:val="18"/>
                <w:szCs w:val="18"/>
                <w:lang w:val="en-US"/>
              </w:rPr>
              <w:t>Variable</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79" w:line="240" w:lineRule="auto"/>
              <w:ind w:right="85"/>
              <w:jc w:val="center"/>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b/>
                <w:bCs/>
                <w:color w:val="000000" w:themeColor="text1"/>
                <w:sz w:val="18"/>
                <w:szCs w:val="18"/>
                <w:lang w:val="en-US"/>
              </w:rPr>
              <w:t>Beta coefficient</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79" w:line="240" w:lineRule="auto"/>
              <w:ind w:right="85"/>
              <w:jc w:val="center"/>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b/>
                <w:bCs/>
                <w:color w:val="000000" w:themeColor="text1"/>
                <w:sz w:val="18"/>
                <w:szCs w:val="18"/>
                <w:lang w:val="en-US"/>
              </w:rPr>
              <w:t>Standard error</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79" w:line="240" w:lineRule="auto"/>
              <w:ind w:right="85"/>
              <w:jc w:val="center"/>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b/>
                <w:bCs/>
                <w:color w:val="000000" w:themeColor="text1"/>
                <w:sz w:val="18"/>
                <w:szCs w:val="18"/>
                <w:lang w:val="en-US"/>
              </w:rPr>
              <w:t>z-statistic</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79" w:line="240" w:lineRule="auto"/>
              <w:ind w:right="85"/>
              <w:jc w:val="center"/>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b/>
                <w:bCs/>
                <w:color w:val="000000" w:themeColor="text1"/>
                <w:sz w:val="18"/>
                <w:szCs w:val="18"/>
                <w:lang w:val="en-US"/>
              </w:rPr>
              <w:t>p-value</w:t>
            </w:r>
          </w:p>
        </w:tc>
      </w:tr>
      <w:tr w:rsidR="007418EB" w:rsidRPr="007418EB" w:rsidTr="00CB1844">
        <w:trPr>
          <w:jc w:val="center"/>
        </w:trPr>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CB1844" w:rsidRPr="007418EB" w:rsidRDefault="00CB1844" w:rsidP="00CB1844">
            <w:pPr>
              <w:spacing w:before="120" w:after="12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8"/>
                <w:szCs w:val="18"/>
                <w:lang w:val="en-US"/>
              </w:rPr>
              <w:t>MSCIACWI</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120" w:after="12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8"/>
                <w:szCs w:val="18"/>
                <w:lang w:val="en-US"/>
              </w:rPr>
              <w:t>0.4079842 ***</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120" w:after="120" w:line="240" w:lineRule="auto"/>
              <w:jc w:val="right"/>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8"/>
                <w:szCs w:val="18"/>
                <w:lang w:val="en-US"/>
              </w:rPr>
              <w:t>0.0379062</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120" w:after="120" w:line="240" w:lineRule="auto"/>
              <w:jc w:val="right"/>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8"/>
                <w:szCs w:val="18"/>
                <w:lang w:val="en-US"/>
              </w:rPr>
              <w:t>10.76</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120" w:after="120" w:line="240" w:lineRule="auto"/>
              <w:jc w:val="right"/>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8"/>
                <w:szCs w:val="18"/>
                <w:lang w:val="en-US"/>
              </w:rPr>
              <w:t>0.000</w:t>
            </w:r>
          </w:p>
        </w:tc>
      </w:tr>
      <w:tr w:rsidR="007418EB" w:rsidRPr="007418EB" w:rsidTr="00CB1844">
        <w:trPr>
          <w:jc w:val="center"/>
        </w:trPr>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CB1844" w:rsidRPr="007418EB" w:rsidRDefault="00CB1844" w:rsidP="00CB1844">
            <w:pPr>
              <w:spacing w:before="120" w:after="12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8"/>
                <w:szCs w:val="18"/>
                <w:lang w:val="en-US"/>
              </w:rPr>
              <w:t>NER</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120" w:after="12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8"/>
                <w:szCs w:val="18"/>
                <w:lang w:val="en-US"/>
              </w:rPr>
              <w:t>-1.047552 ***</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120" w:after="120" w:line="240" w:lineRule="auto"/>
              <w:jc w:val="right"/>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8"/>
                <w:szCs w:val="18"/>
                <w:lang w:val="en-US"/>
              </w:rPr>
              <w:t>0.1675257</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120" w:after="120" w:line="240" w:lineRule="auto"/>
              <w:jc w:val="right"/>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8"/>
                <w:szCs w:val="18"/>
                <w:lang w:val="en-US"/>
              </w:rPr>
              <w:t>-6.25</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120" w:after="120" w:line="240" w:lineRule="auto"/>
              <w:jc w:val="right"/>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8"/>
                <w:szCs w:val="18"/>
                <w:lang w:val="en-US"/>
              </w:rPr>
              <w:t>0.000</w:t>
            </w:r>
          </w:p>
        </w:tc>
      </w:tr>
      <w:tr w:rsidR="007418EB" w:rsidRPr="007418EB" w:rsidTr="00CB1844">
        <w:trPr>
          <w:jc w:val="center"/>
        </w:trPr>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CB1844" w:rsidRPr="007418EB" w:rsidRDefault="00CB1844" w:rsidP="00CB1844">
            <w:pPr>
              <w:spacing w:before="120" w:after="12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8"/>
                <w:szCs w:val="18"/>
                <w:lang w:val="en-US"/>
              </w:rPr>
              <w:t>DTNER</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120" w:after="12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8"/>
                <w:szCs w:val="18"/>
                <w:lang w:val="en-US"/>
              </w:rPr>
              <w:t>0.4841614 **</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120" w:after="120" w:line="240" w:lineRule="auto"/>
              <w:jc w:val="right"/>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8"/>
                <w:szCs w:val="18"/>
                <w:lang w:val="en-US"/>
              </w:rPr>
              <w:t>0.2311391</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120" w:after="120" w:line="240" w:lineRule="auto"/>
              <w:jc w:val="right"/>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8"/>
                <w:szCs w:val="18"/>
                <w:lang w:val="en-US"/>
              </w:rPr>
              <w:t>2.09</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120" w:after="120" w:line="240" w:lineRule="auto"/>
              <w:jc w:val="right"/>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8"/>
                <w:szCs w:val="18"/>
                <w:lang w:val="en-US"/>
              </w:rPr>
              <w:t>0.036</w:t>
            </w:r>
          </w:p>
        </w:tc>
      </w:tr>
      <w:tr w:rsidR="007418EB" w:rsidRPr="007418EB" w:rsidTr="00CB1844">
        <w:trPr>
          <w:trHeight w:val="85"/>
          <w:jc w:val="center"/>
        </w:trPr>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CB1844" w:rsidRPr="007418EB" w:rsidRDefault="00CB1844" w:rsidP="00CB1844">
            <w:pPr>
              <w:spacing w:before="120" w:after="12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8"/>
                <w:szCs w:val="18"/>
                <w:lang w:val="en-US"/>
              </w:rPr>
              <w:t>Constant</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120" w:after="12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8"/>
                <w:szCs w:val="18"/>
                <w:lang w:val="en-US"/>
              </w:rPr>
              <w:t>0.006782 ***</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120" w:after="120" w:line="240" w:lineRule="auto"/>
              <w:jc w:val="right"/>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8"/>
                <w:szCs w:val="18"/>
                <w:lang w:val="en-US"/>
              </w:rPr>
              <w:t>0.0022773</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120" w:after="120" w:line="240" w:lineRule="auto"/>
              <w:jc w:val="right"/>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8"/>
                <w:szCs w:val="18"/>
                <w:lang w:val="en-US"/>
              </w:rPr>
              <w:t>2.98</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120" w:after="120" w:line="240" w:lineRule="auto"/>
              <w:jc w:val="right"/>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8"/>
                <w:szCs w:val="18"/>
                <w:lang w:val="en-US"/>
              </w:rPr>
              <w:t>0.003</w:t>
            </w:r>
          </w:p>
        </w:tc>
      </w:tr>
    </w:tbl>
    <w:p w:rsidR="00CB1844" w:rsidRPr="007418EB" w:rsidRDefault="00CA0173"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b/>
          <w:bCs/>
          <w:color w:val="000000" w:themeColor="text1"/>
          <w:lang w:val="en-US"/>
        </w:rPr>
        <w:t>Table 4.</w:t>
      </w:r>
      <w:r w:rsidR="00CB1844" w:rsidRPr="007418EB">
        <w:rPr>
          <w:rFonts w:ascii="Times New Roman" w:eastAsia="Times New Roman" w:hAnsi="Times New Roman" w:cs="Times New Roman"/>
          <w:b/>
          <w:bCs/>
          <w:color w:val="000000" w:themeColor="text1"/>
          <w:lang w:val="en-US"/>
        </w:rPr>
        <w:t>12 Regression results (3.5) by the GLS method</w:t>
      </w:r>
    </w:p>
    <w:tbl>
      <w:tblPr>
        <w:tblW w:w="0" w:type="auto"/>
        <w:jc w:val="center"/>
        <w:tblCellMar>
          <w:left w:w="0" w:type="dxa"/>
          <w:right w:w="0" w:type="dxa"/>
        </w:tblCellMar>
        <w:tblLook w:val="04A0" w:firstRow="1" w:lastRow="0" w:firstColumn="1" w:lastColumn="0" w:noHBand="0" w:noVBand="1"/>
      </w:tblPr>
      <w:tblGrid>
        <w:gridCol w:w="1137"/>
        <w:gridCol w:w="1486"/>
        <w:gridCol w:w="1476"/>
        <w:gridCol w:w="1031"/>
        <w:gridCol w:w="872"/>
      </w:tblGrid>
      <w:tr w:rsidR="007418EB" w:rsidRPr="007418EB" w:rsidTr="00CB1844">
        <w:trPr>
          <w:jc w:val="center"/>
        </w:trPr>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79" w:line="240" w:lineRule="auto"/>
              <w:ind w:right="85"/>
              <w:jc w:val="center"/>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b/>
                <w:bCs/>
                <w:color w:val="000000" w:themeColor="text1"/>
                <w:sz w:val="18"/>
                <w:szCs w:val="18"/>
                <w:lang w:val="en-US"/>
              </w:rPr>
              <w:t>Variable</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79" w:line="240" w:lineRule="auto"/>
              <w:ind w:right="85"/>
              <w:jc w:val="center"/>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b/>
                <w:bCs/>
                <w:color w:val="000000" w:themeColor="text1"/>
                <w:sz w:val="18"/>
                <w:szCs w:val="18"/>
                <w:lang w:val="en-US"/>
              </w:rPr>
              <w:t>Beta coefficient</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79" w:line="240" w:lineRule="auto"/>
              <w:ind w:right="85"/>
              <w:jc w:val="center"/>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b/>
                <w:bCs/>
                <w:color w:val="000000" w:themeColor="text1"/>
                <w:sz w:val="18"/>
                <w:szCs w:val="18"/>
                <w:lang w:val="en-US"/>
              </w:rPr>
              <w:t>Standard error</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79" w:line="240" w:lineRule="auto"/>
              <w:ind w:right="85"/>
              <w:jc w:val="center"/>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b/>
                <w:bCs/>
                <w:color w:val="000000" w:themeColor="text1"/>
                <w:sz w:val="18"/>
                <w:szCs w:val="18"/>
                <w:lang w:val="en-US"/>
              </w:rPr>
              <w:t>z-statistic</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79" w:line="240" w:lineRule="auto"/>
              <w:ind w:right="85"/>
              <w:jc w:val="center"/>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b/>
                <w:bCs/>
                <w:color w:val="000000" w:themeColor="text1"/>
                <w:sz w:val="18"/>
                <w:szCs w:val="18"/>
                <w:lang w:val="en-US"/>
              </w:rPr>
              <w:t>p-value</w:t>
            </w:r>
          </w:p>
        </w:tc>
      </w:tr>
      <w:tr w:rsidR="007418EB" w:rsidRPr="007418EB" w:rsidTr="00CB1844">
        <w:trPr>
          <w:jc w:val="center"/>
        </w:trPr>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CB1844" w:rsidRPr="007418EB" w:rsidRDefault="00CB1844" w:rsidP="00CB1844">
            <w:pPr>
              <w:spacing w:before="120" w:after="12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8"/>
                <w:szCs w:val="18"/>
                <w:lang w:val="en-US"/>
              </w:rPr>
              <w:t>MSCIACWI</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120" w:after="12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8"/>
                <w:szCs w:val="18"/>
                <w:lang w:val="en-US"/>
              </w:rPr>
              <w:t>0.4365342 ***</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120" w:after="120" w:line="240" w:lineRule="auto"/>
              <w:jc w:val="right"/>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8"/>
                <w:szCs w:val="18"/>
                <w:lang w:val="en-US"/>
              </w:rPr>
              <w:t>0.0381889</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120" w:after="120" w:line="240" w:lineRule="auto"/>
              <w:jc w:val="right"/>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8"/>
                <w:szCs w:val="18"/>
                <w:lang w:val="en-US"/>
              </w:rPr>
              <w:t>11.43</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120" w:after="120" w:line="240" w:lineRule="auto"/>
              <w:jc w:val="right"/>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8"/>
                <w:szCs w:val="18"/>
                <w:lang w:val="en-US"/>
              </w:rPr>
              <w:t>0.000</w:t>
            </w:r>
          </w:p>
        </w:tc>
      </w:tr>
      <w:tr w:rsidR="007418EB" w:rsidRPr="007418EB" w:rsidTr="00CB1844">
        <w:trPr>
          <w:jc w:val="center"/>
        </w:trPr>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CB1844" w:rsidRPr="007418EB" w:rsidRDefault="00CB1844" w:rsidP="00CB1844">
            <w:pPr>
              <w:spacing w:before="120" w:after="12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8"/>
                <w:szCs w:val="18"/>
                <w:lang w:val="en-US"/>
              </w:rPr>
              <w:t>RER</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120" w:after="12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8"/>
                <w:szCs w:val="18"/>
                <w:lang w:val="en-US"/>
              </w:rPr>
              <w:t>-0.86662 ***</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120" w:after="120" w:line="240" w:lineRule="auto"/>
              <w:jc w:val="right"/>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8"/>
                <w:szCs w:val="18"/>
                <w:lang w:val="en-US"/>
              </w:rPr>
              <w:t>0.1584513</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120" w:after="120" w:line="240" w:lineRule="auto"/>
              <w:jc w:val="right"/>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8"/>
                <w:szCs w:val="18"/>
                <w:lang w:val="en-US"/>
              </w:rPr>
              <w:t>-5.47</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120" w:after="120" w:line="240" w:lineRule="auto"/>
              <w:jc w:val="right"/>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8"/>
                <w:szCs w:val="18"/>
                <w:lang w:val="en-US"/>
              </w:rPr>
              <w:t>0.000</w:t>
            </w:r>
          </w:p>
        </w:tc>
      </w:tr>
      <w:tr w:rsidR="007418EB" w:rsidRPr="007418EB" w:rsidTr="00CB1844">
        <w:trPr>
          <w:jc w:val="center"/>
        </w:trPr>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CB1844" w:rsidRPr="007418EB" w:rsidRDefault="00CB1844" w:rsidP="00CB1844">
            <w:pPr>
              <w:spacing w:before="120" w:after="12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8"/>
                <w:szCs w:val="18"/>
                <w:lang w:val="en-US"/>
              </w:rPr>
              <w:t>DTRER</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120" w:after="12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8"/>
                <w:szCs w:val="18"/>
                <w:lang w:val="en-US"/>
              </w:rPr>
              <w:t>0.4762231 **</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120" w:after="120" w:line="240" w:lineRule="auto"/>
              <w:jc w:val="right"/>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8"/>
                <w:szCs w:val="18"/>
                <w:lang w:val="en-US"/>
              </w:rPr>
              <w:t>0.2269447</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120" w:after="120" w:line="240" w:lineRule="auto"/>
              <w:jc w:val="right"/>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8"/>
                <w:szCs w:val="18"/>
                <w:lang w:val="en-US"/>
              </w:rPr>
              <w:t>2.1</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120" w:after="120" w:line="240" w:lineRule="auto"/>
              <w:jc w:val="right"/>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8"/>
                <w:szCs w:val="18"/>
                <w:lang w:val="en-US"/>
              </w:rPr>
              <w:t>0.036</w:t>
            </w:r>
          </w:p>
        </w:tc>
      </w:tr>
      <w:tr w:rsidR="007418EB" w:rsidRPr="007418EB" w:rsidTr="00CB1844">
        <w:trPr>
          <w:trHeight w:val="85"/>
          <w:jc w:val="center"/>
        </w:trPr>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CB1844" w:rsidRPr="007418EB" w:rsidRDefault="00CB1844" w:rsidP="00CB1844">
            <w:pPr>
              <w:spacing w:before="120" w:after="12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8"/>
                <w:szCs w:val="18"/>
                <w:lang w:val="en-US"/>
              </w:rPr>
              <w:t>Constant</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120" w:after="12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8"/>
                <w:szCs w:val="18"/>
                <w:lang w:val="en-US"/>
              </w:rPr>
              <w:t>0.0053598 **</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120" w:after="120" w:line="240" w:lineRule="auto"/>
              <w:jc w:val="right"/>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8"/>
                <w:szCs w:val="18"/>
                <w:lang w:val="en-US"/>
              </w:rPr>
              <w:t>0.0023147</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120" w:after="120" w:line="240" w:lineRule="auto"/>
              <w:jc w:val="right"/>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8"/>
                <w:szCs w:val="18"/>
                <w:lang w:val="en-US"/>
              </w:rPr>
              <w:t>2.32</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120" w:after="120" w:line="240" w:lineRule="auto"/>
              <w:jc w:val="right"/>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8"/>
                <w:szCs w:val="18"/>
                <w:lang w:val="en-US"/>
              </w:rPr>
              <w:t>0.021</w:t>
            </w:r>
          </w:p>
        </w:tc>
      </w:tr>
    </w:tbl>
    <w:p w:rsidR="00CB1844" w:rsidRPr="007418EB" w:rsidRDefault="00CA0173" w:rsidP="00CB1844">
      <w:pPr>
        <w:spacing w:after="0" w:line="340" w:lineRule="atLeast"/>
        <w:jc w:val="both"/>
        <w:rPr>
          <w:rFonts w:ascii="Times New Roman" w:eastAsia="Times New Roman" w:hAnsi="Times New Roman" w:cs="Times New Roman"/>
          <w:color w:val="000000" w:themeColor="text1"/>
          <w:sz w:val="27"/>
          <w:szCs w:val="27"/>
          <w:lang w:val="en-US"/>
        </w:rPr>
      </w:pPr>
      <w:bookmarkStart w:id="13" w:name="_Toc24281247"/>
      <w:r w:rsidRPr="007418EB">
        <w:rPr>
          <w:rFonts w:ascii="Times New Roman" w:eastAsia="Times New Roman" w:hAnsi="Times New Roman" w:cs="Times New Roman"/>
          <w:b/>
          <w:bCs/>
          <w:color w:val="000000" w:themeColor="text1"/>
          <w:lang w:val="en-US"/>
        </w:rPr>
        <w:t>Table 4.</w:t>
      </w:r>
      <w:r w:rsidR="00CB1844" w:rsidRPr="007418EB">
        <w:rPr>
          <w:rFonts w:ascii="Times New Roman" w:eastAsia="Times New Roman" w:hAnsi="Times New Roman" w:cs="Times New Roman"/>
          <w:b/>
          <w:bCs/>
          <w:color w:val="000000" w:themeColor="text1"/>
          <w:lang w:val="en-US"/>
        </w:rPr>
        <w:t xml:space="preserve">15 The results of regression equation (3.4) and (3.5) by </w:t>
      </w:r>
      <w:r w:rsidR="007E0CAB" w:rsidRPr="007418EB">
        <w:rPr>
          <w:rFonts w:ascii="Times New Roman" w:eastAsia="Times New Roman" w:hAnsi="Times New Roman" w:cs="Times New Roman"/>
          <w:b/>
          <w:bCs/>
          <w:color w:val="000000" w:themeColor="text1"/>
          <w:lang w:val="en-US"/>
        </w:rPr>
        <w:t>GLS method of sample 3</w:t>
      </w:r>
      <w:r w:rsidR="00CB1844" w:rsidRPr="007418EB">
        <w:rPr>
          <w:rFonts w:ascii="Times New Roman" w:eastAsia="Times New Roman" w:hAnsi="Times New Roman" w:cs="Times New Roman"/>
          <w:b/>
          <w:bCs/>
          <w:color w:val="000000" w:themeColor="text1"/>
          <w:lang w:val="en-US"/>
        </w:rPr>
        <w:t xml:space="preserve"> ASEAN countries (Malaysia, Singapore, Vietnam)</w:t>
      </w:r>
      <w:bookmarkEnd w:id="1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9"/>
        <w:gridCol w:w="1437"/>
        <w:gridCol w:w="1000"/>
        <w:gridCol w:w="1437"/>
        <w:gridCol w:w="1000"/>
      </w:tblGrid>
      <w:tr w:rsidR="007418EB" w:rsidRPr="007418EB" w:rsidTr="00DF4A81">
        <w:trPr>
          <w:jc w:val="center"/>
        </w:trPr>
        <w:tc>
          <w:tcPr>
            <w:tcW w:w="0" w:type="auto"/>
            <w:vMerge w:val="restart"/>
            <w:shd w:val="clear" w:color="auto" w:fill="auto"/>
            <w:vAlign w:val="bottom"/>
          </w:tcPr>
          <w:p w:rsidR="00CA0173" w:rsidRPr="007418EB" w:rsidRDefault="00CA0173" w:rsidP="00DF4A81">
            <w:pPr>
              <w:widowControl w:val="0"/>
              <w:autoSpaceDE w:val="0"/>
              <w:autoSpaceDN w:val="0"/>
              <w:adjustRightInd w:val="0"/>
              <w:spacing w:before="79" w:line="240" w:lineRule="auto"/>
              <w:ind w:right="85"/>
              <w:jc w:val="center"/>
              <w:rPr>
                <w:rFonts w:ascii="Times New Roman" w:hAnsi="Times New Roman" w:cs="Times New Roman"/>
                <w:b/>
                <w:color w:val="000000" w:themeColor="text1"/>
                <w:sz w:val="20"/>
                <w:szCs w:val="24"/>
              </w:rPr>
            </w:pPr>
            <w:r w:rsidRPr="007418EB">
              <w:rPr>
                <w:rFonts w:ascii="Times New Roman" w:hAnsi="Times New Roman" w:cs="Times New Roman"/>
                <w:b/>
                <w:color w:val="000000" w:themeColor="text1"/>
                <w:sz w:val="20"/>
                <w:szCs w:val="24"/>
              </w:rPr>
              <w:t>Variable</w:t>
            </w:r>
          </w:p>
        </w:tc>
        <w:tc>
          <w:tcPr>
            <w:tcW w:w="0" w:type="auto"/>
            <w:gridSpan w:val="2"/>
            <w:shd w:val="clear" w:color="auto" w:fill="auto"/>
          </w:tcPr>
          <w:p w:rsidR="00CA0173" w:rsidRPr="007418EB" w:rsidRDefault="001A439B" w:rsidP="00DF4A81">
            <w:pPr>
              <w:widowControl w:val="0"/>
              <w:autoSpaceDE w:val="0"/>
              <w:autoSpaceDN w:val="0"/>
              <w:adjustRightInd w:val="0"/>
              <w:spacing w:before="79" w:line="240" w:lineRule="auto"/>
              <w:ind w:right="85"/>
              <w:jc w:val="center"/>
              <w:rPr>
                <w:rFonts w:ascii="Times New Roman" w:hAnsi="Times New Roman" w:cs="Times New Roman"/>
                <w:b/>
                <w:color w:val="000000" w:themeColor="text1"/>
                <w:sz w:val="20"/>
                <w:szCs w:val="24"/>
              </w:rPr>
            </w:pPr>
            <w:r w:rsidRPr="007418EB">
              <w:rPr>
                <w:rFonts w:ascii="Times New Roman" w:hAnsi="Times New Roman" w:cs="Times New Roman"/>
                <w:b/>
                <w:color w:val="000000" w:themeColor="text1"/>
                <w:sz w:val="20"/>
                <w:szCs w:val="24"/>
              </w:rPr>
              <w:t>Equation</w:t>
            </w:r>
            <w:r w:rsidR="00CA0173" w:rsidRPr="007418EB">
              <w:rPr>
                <w:rFonts w:ascii="Times New Roman" w:hAnsi="Times New Roman" w:cs="Times New Roman"/>
                <w:b/>
                <w:color w:val="000000" w:themeColor="text1"/>
                <w:sz w:val="20"/>
                <w:szCs w:val="24"/>
              </w:rPr>
              <w:t xml:space="preserve"> (3.4)</w:t>
            </w:r>
          </w:p>
        </w:tc>
        <w:tc>
          <w:tcPr>
            <w:tcW w:w="0" w:type="auto"/>
            <w:gridSpan w:val="2"/>
            <w:shd w:val="clear" w:color="auto" w:fill="auto"/>
          </w:tcPr>
          <w:p w:rsidR="00CA0173" w:rsidRPr="007418EB" w:rsidRDefault="001A439B" w:rsidP="00DF4A81">
            <w:pPr>
              <w:widowControl w:val="0"/>
              <w:autoSpaceDE w:val="0"/>
              <w:autoSpaceDN w:val="0"/>
              <w:adjustRightInd w:val="0"/>
              <w:spacing w:before="79" w:line="240" w:lineRule="auto"/>
              <w:ind w:right="85"/>
              <w:jc w:val="center"/>
              <w:rPr>
                <w:rFonts w:ascii="Times New Roman" w:hAnsi="Times New Roman" w:cs="Times New Roman"/>
                <w:b/>
                <w:color w:val="000000" w:themeColor="text1"/>
                <w:sz w:val="20"/>
                <w:szCs w:val="24"/>
              </w:rPr>
            </w:pPr>
            <w:r w:rsidRPr="007418EB">
              <w:rPr>
                <w:rFonts w:ascii="Times New Roman" w:hAnsi="Times New Roman" w:cs="Times New Roman"/>
                <w:b/>
                <w:color w:val="000000" w:themeColor="text1"/>
                <w:sz w:val="20"/>
                <w:szCs w:val="24"/>
              </w:rPr>
              <w:t xml:space="preserve">Equation </w:t>
            </w:r>
            <w:r w:rsidR="00CA0173" w:rsidRPr="007418EB">
              <w:rPr>
                <w:rFonts w:ascii="Times New Roman" w:hAnsi="Times New Roman" w:cs="Times New Roman"/>
                <w:b/>
                <w:color w:val="000000" w:themeColor="text1"/>
                <w:sz w:val="20"/>
                <w:szCs w:val="24"/>
              </w:rPr>
              <w:t>(3.5)</w:t>
            </w:r>
          </w:p>
        </w:tc>
      </w:tr>
      <w:tr w:rsidR="007418EB" w:rsidRPr="007418EB" w:rsidTr="00DF4A81">
        <w:trPr>
          <w:jc w:val="center"/>
        </w:trPr>
        <w:tc>
          <w:tcPr>
            <w:tcW w:w="0" w:type="auto"/>
            <w:vMerge/>
            <w:shd w:val="clear" w:color="auto" w:fill="auto"/>
          </w:tcPr>
          <w:p w:rsidR="00CA0173" w:rsidRPr="007418EB" w:rsidRDefault="00CA0173" w:rsidP="00DF4A81">
            <w:pPr>
              <w:widowControl w:val="0"/>
              <w:autoSpaceDE w:val="0"/>
              <w:autoSpaceDN w:val="0"/>
              <w:adjustRightInd w:val="0"/>
              <w:spacing w:before="79" w:line="240" w:lineRule="auto"/>
              <w:ind w:right="85"/>
              <w:jc w:val="center"/>
              <w:rPr>
                <w:rFonts w:ascii="Times New Roman" w:hAnsi="Times New Roman" w:cs="Times New Roman"/>
                <w:b/>
                <w:color w:val="000000" w:themeColor="text1"/>
                <w:sz w:val="20"/>
                <w:szCs w:val="24"/>
              </w:rPr>
            </w:pPr>
          </w:p>
        </w:tc>
        <w:tc>
          <w:tcPr>
            <w:tcW w:w="0" w:type="auto"/>
            <w:shd w:val="clear" w:color="auto" w:fill="auto"/>
          </w:tcPr>
          <w:p w:rsidR="00CA0173" w:rsidRPr="007418EB" w:rsidRDefault="00CA0173" w:rsidP="00DF4A81">
            <w:pPr>
              <w:widowControl w:val="0"/>
              <w:autoSpaceDE w:val="0"/>
              <w:autoSpaceDN w:val="0"/>
              <w:adjustRightInd w:val="0"/>
              <w:spacing w:before="79" w:line="240" w:lineRule="auto"/>
              <w:ind w:right="85"/>
              <w:jc w:val="center"/>
              <w:rPr>
                <w:rFonts w:ascii="Times New Roman" w:hAnsi="Times New Roman" w:cs="Times New Roman"/>
                <w:b/>
                <w:color w:val="000000" w:themeColor="text1"/>
                <w:sz w:val="20"/>
                <w:szCs w:val="24"/>
              </w:rPr>
            </w:pPr>
            <w:r w:rsidRPr="007418EB">
              <w:rPr>
                <w:rFonts w:ascii="Times New Roman" w:hAnsi="Times New Roman" w:cs="Times New Roman"/>
                <w:b/>
                <w:color w:val="000000" w:themeColor="text1"/>
                <w:sz w:val="20"/>
                <w:szCs w:val="24"/>
              </w:rPr>
              <w:t xml:space="preserve">Beta </w:t>
            </w:r>
            <w:r w:rsidRPr="007418EB">
              <w:rPr>
                <w:rFonts w:ascii="Times New Roman" w:hAnsi="Times New Roman" w:cs="Times New Roman"/>
                <w:b/>
                <w:color w:val="000000" w:themeColor="text1"/>
                <w:sz w:val="20"/>
                <w:szCs w:val="24"/>
              </w:rPr>
              <w:lastRenderedPageBreak/>
              <w:t>coefficient</w:t>
            </w:r>
          </w:p>
        </w:tc>
        <w:tc>
          <w:tcPr>
            <w:tcW w:w="0" w:type="auto"/>
            <w:shd w:val="clear" w:color="auto" w:fill="auto"/>
          </w:tcPr>
          <w:p w:rsidR="00CA0173" w:rsidRPr="007418EB" w:rsidRDefault="00CA0173" w:rsidP="00DF4A81">
            <w:pPr>
              <w:widowControl w:val="0"/>
              <w:autoSpaceDE w:val="0"/>
              <w:autoSpaceDN w:val="0"/>
              <w:adjustRightInd w:val="0"/>
              <w:spacing w:before="79" w:line="240" w:lineRule="auto"/>
              <w:ind w:right="85"/>
              <w:jc w:val="center"/>
              <w:rPr>
                <w:rFonts w:ascii="Times New Roman" w:hAnsi="Times New Roman" w:cs="Times New Roman"/>
                <w:b/>
                <w:color w:val="000000" w:themeColor="text1"/>
                <w:sz w:val="20"/>
                <w:szCs w:val="24"/>
              </w:rPr>
            </w:pPr>
            <w:r w:rsidRPr="007418EB">
              <w:rPr>
                <w:rFonts w:ascii="Times New Roman" w:hAnsi="Times New Roman" w:cs="Times New Roman"/>
                <w:b/>
                <w:color w:val="000000" w:themeColor="text1"/>
                <w:sz w:val="20"/>
                <w:szCs w:val="24"/>
              </w:rPr>
              <w:lastRenderedPageBreak/>
              <w:t>z-</w:t>
            </w:r>
            <w:r w:rsidRPr="007418EB">
              <w:rPr>
                <w:rFonts w:ascii="Times New Roman" w:hAnsi="Times New Roman" w:cs="Times New Roman"/>
                <w:b/>
                <w:color w:val="000000" w:themeColor="text1"/>
                <w:sz w:val="20"/>
                <w:szCs w:val="24"/>
              </w:rPr>
              <w:lastRenderedPageBreak/>
              <w:t>statistic</w:t>
            </w:r>
          </w:p>
        </w:tc>
        <w:tc>
          <w:tcPr>
            <w:tcW w:w="0" w:type="auto"/>
            <w:shd w:val="clear" w:color="auto" w:fill="auto"/>
          </w:tcPr>
          <w:p w:rsidR="00CA0173" w:rsidRPr="007418EB" w:rsidRDefault="00CA0173" w:rsidP="00DF4A81">
            <w:pPr>
              <w:widowControl w:val="0"/>
              <w:autoSpaceDE w:val="0"/>
              <w:autoSpaceDN w:val="0"/>
              <w:adjustRightInd w:val="0"/>
              <w:spacing w:before="79" w:line="240" w:lineRule="auto"/>
              <w:ind w:right="85"/>
              <w:jc w:val="center"/>
              <w:rPr>
                <w:rFonts w:ascii="Times New Roman" w:hAnsi="Times New Roman" w:cs="Times New Roman"/>
                <w:b/>
                <w:color w:val="000000" w:themeColor="text1"/>
                <w:sz w:val="20"/>
                <w:szCs w:val="24"/>
              </w:rPr>
            </w:pPr>
            <w:r w:rsidRPr="007418EB">
              <w:rPr>
                <w:rFonts w:ascii="Times New Roman" w:hAnsi="Times New Roman" w:cs="Times New Roman"/>
                <w:b/>
                <w:color w:val="000000" w:themeColor="text1"/>
                <w:sz w:val="20"/>
                <w:szCs w:val="24"/>
              </w:rPr>
              <w:lastRenderedPageBreak/>
              <w:t xml:space="preserve">Beta </w:t>
            </w:r>
            <w:r w:rsidRPr="007418EB">
              <w:rPr>
                <w:rFonts w:ascii="Times New Roman" w:hAnsi="Times New Roman" w:cs="Times New Roman"/>
                <w:b/>
                <w:color w:val="000000" w:themeColor="text1"/>
                <w:sz w:val="20"/>
                <w:szCs w:val="24"/>
              </w:rPr>
              <w:lastRenderedPageBreak/>
              <w:t>coefficient</w:t>
            </w:r>
          </w:p>
        </w:tc>
        <w:tc>
          <w:tcPr>
            <w:tcW w:w="0" w:type="auto"/>
            <w:shd w:val="clear" w:color="auto" w:fill="auto"/>
          </w:tcPr>
          <w:p w:rsidR="00CA0173" w:rsidRPr="007418EB" w:rsidRDefault="00CA0173" w:rsidP="00DF4A81">
            <w:pPr>
              <w:widowControl w:val="0"/>
              <w:autoSpaceDE w:val="0"/>
              <w:autoSpaceDN w:val="0"/>
              <w:adjustRightInd w:val="0"/>
              <w:spacing w:before="79" w:line="240" w:lineRule="auto"/>
              <w:ind w:right="85"/>
              <w:jc w:val="center"/>
              <w:rPr>
                <w:rFonts w:ascii="Times New Roman" w:hAnsi="Times New Roman" w:cs="Times New Roman"/>
                <w:b/>
                <w:color w:val="000000" w:themeColor="text1"/>
                <w:sz w:val="20"/>
                <w:szCs w:val="24"/>
              </w:rPr>
            </w:pPr>
            <w:r w:rsidRPr="007418EB">
              <w:rPr>
                <w:rFonts w:ascii="Times New Roman" w:hAnsi="Times New Roman" w:cs="Times New Roman"/>
                <w:b/>
                <w:color w:val="000000" w:themeColor="text1"/>
                <w:sz w:val="20"/>
                <w:szCs w:val="24"/>
              </w:rPr>
              <w:lastRenderedPageBreak/>
              <w:t>z-</w:t>
            </w:r>
            <w:r w:rsidRPr="007418EB">
              <w:rPr>
                <w:rFonts w:ascii="Times New Roman" w:hAnsi="Times New Roman" w:cs="Times New Roman"/>
                <w:b/>
                <w:color w:val="000000" w:themeColor="text1"/>
                <w:sz w:val="20"/>
                <w:szCs w:val="24"/>
              </w:rPr>
              <w:lastRenderedPageBreak/>
              <w:t>statistic</w:t>
            </w:r>
          </w:p>
        </w:tc>
      </w:tr>
      <w:tr w:rsidR="007418EB" w:rsidRPr="007418EB" w:rsidTr="00DF4A81">
        <w:trPr>
          <w:jc w:val="center"/>
        </w:trPr>
        <w:tc>
          <w:tcPr>
            <w:tcW w:w="0" w:type="auto"/>
            <w:shd w:val="clear" w:color="auto" w:fill="auto"/>
            <w:vAlign w:val="bottom"/>
          </w:tcPr>
          <w:p w:rsidR="00CA0173" w:rsidRPr="007418EB" w:rsidRDefault="00CA0173" w:rsidP="00DF4A81">
            <w:pPr>
              <w:spacing w:before="120" w:after="120" w:line="240" w:lineRule="auto"/>
              <w:rPr>
                <w:rFonts w:ascii="Times New Roman" w:hAnsi="Times New Roman" w:cs="Times New Roman"/>
                <w:color w:val="000000" w:themeColor="text1"/>
                <w:sz w:val="20"/>
                <w:szCs w:val="24"/>
              </w:rPr>
            </w:pPr>
            <w:r w:rsidRPr="007418EB">
              <w:rPr>
                <w:rFonts w:ascii="Times New Roman" w:hAnsi="Times New Roman" w:cs="Times New Roman"/>
                <w:color w:val="000000" w:themeColor="text1"/>
                <w:sz w:val="20"/>
                <w:szCs w:val="24"/>
              </w:rPr>
              <w:lastRenderedPageBreak/>
              <w:t>MSCIACWI</w:t>
            </w:r>
          </w:p>
        </w:tc>
        <w:tc>
          <w:tcPr>
            <w:tcW w:w="0" w:type="auto"/>
            <w:shd w:val="clear" w:color="auto" w:fill="auto"/>
          </w:tcPr>
          <w:p w:rsidR="00CA0173" w:rsidRPr="007418EB" w:rsidRDefault="00CA0173" w:rsidP="00DF4A81">
            <w:pPr>
              <w:spacing w:before="120" w:after="120" w:line="240" w:lineRule="auto"/>
              <w:rPr>
                <w:rFonts w:ascii="Times New Roman" w:hAnsi="Times New Roman" w:cs="Times New Roman"/>
                <w:color w:val="000000" w:themeColor="text1"/>
                <w:sz w:val="20"/>
                <w:szCs w:val="24"/>
              </w:rPr>
            </w:pPr>
            <w:r w:rsidRPr="007418EB">
              <w:rPr>
                <w:rFonts w:ascii="Times New Roman" w:hAnsi="Times New Roman" w:cs="Times New Roman"/>
                <w:color w:val="000000" w:themeColor="text1"/>
                <w:sz w:val="20"/>
              </w:rPr>
              <w:t>0.3616638***</w:t>
            </w:r>
          </w:p>
        </w:tc>
        <w:tc>
          <w:tcPr>
            <w:tcW w:w="0" w:type="auto"/>
            <w:shd w:val="clear" w:color="auto" w:fill="auto"/>
          </w:tcPr>
          <w:p w:rsidR="00CA0173" w:rsidRPr="007418EB" w:rsidRDefault="00CA0173" w:rsidP="00DF4A81">
            <w:pPr>
              <w:spacing w:before="120" w:after="120" w:line="240" w:lineRule="auto"/>
              <w:jc w:val="right"/>
              <w:rPr>
                <w:rFonts w:ascii="Times New Roman" w:hAnsi="Times New Roman" w:cs="Times New Roman"/>
                <w:color w:val="000000" w:themeColor="text1"/>
                <w:sz w:val="20"/>
                <w:szCs w:val="24"/>
              </w:rPr>
            </w:pPr>
            <w:r w:rsidRPr="007418EB">
              <w:rPr>
                <w:rFonts w:ascii="Times New Roman" w:hAnsi="Times New Roman" w:cs="Times New Roman"/>
                <w:color w:val="000000" w:themeColor="text1"/>
                <w:sz w:val="20"/>
              </w:rPr>
              <w:t>6.98</w:t>
            </w:r>
          </w:p>
        </w:tc>
        <w:tc>
          <w:tcPr>
            <w:tcW w:w="0" w:type="auto"/>
            <w:shd w:val="clear" w:color="auto" w:fill="auto"/>
          </w:tcPr>
          <w:p w:rsidR="00CA0173" w:rsidRPr="007418EB" w:rsidRDefault="00CA0173" w:rsidP="00DF4A81">
            <w:pPr>
              <w:spacing w:before="120" w:after="120" w:line="240" w:lineRule="auto"/>
              <w:rPr>
                <w:rFonts w:ascii="Times New Roman" w:hAnsi="Times New Roman" w:cs="Times New Roman"/>
                <w:color w:val="000000" w:themeColor="text1"/>
                <w:sz w:val="20"/>
                <w:szCs w:val="24"/>
              </w:rPr>
            </w:pPr>
            <w:r w:rsidRPr="007418EB">
              <w:rPr>
                <w:rFonts w:ascii="Times New Roman" w:hAnsi="Times New Roman" w:cs="Times New Roman"/>
                <w:color w:val="000000" w:themeColor="text1"/>
                <w:sz w:val="20"/>
              </w:rPr>
              <w:t>0.3700892***</w:t>
            </w:r>
          </w:p>
        </w:tc>
        <w:tc>
          <w:tcPr>
            <w:tcW w:w="0" w:type="auto"/>
            <w:shd w:val="clear" w:color="auto" w:fill="auto"/>
          </w:tcPr>
          <w:p w:rsidR="00CA0173" w:rsidRPr="007418EB" w:rsidRDefault="00CA0173" w:rsidP="00DF4A81">
            <w:pPr>
              <w:spacing w:before="120" w:after="120" w:line="240" w:lineRule="auto"/>
              <w:jc w:val="right"/>
              <w:rPr>
                <w:rFonts w:ascii="Times New Roman" w:hAnsi="Times New Roman" w:cs="Times New Roman"/>
                <w:color w:val="000000" w:themeColor="text1"/>
                <w:sz w:val="20"/>
                <w:szCs w:val="24"/>
              </w:rPr>
            </w:pPr>
            <w:r w:rsidRPr="007418EB">
              <w:rPr>
                <w:rFonts w:ascii="Times New Roman" w:hAnsi="Times New Roman" w:cs="Times New Roman"/>
                <w:color w:val="000000" w:themeColor="text1"/>
                <w:sz w:val="20"/>
              </w:rPr>
              <w:t>7.18</w:t>
            </w:r>
          </w:p>
        </w:tc>
      </w:tr>
      <w:tr w:rsidR="007418EB" w:rsidRPr="007418EB" w:rsidTr="00DF4A81">
        <w:trPr>
          <w:jc w:val="center"/>
        </w:trPr>
        <w:tc>
          <w:tcPr>
            <w:tcW w:w="0" w:type="auto"/>
            <w:shd w:val="clear" w:color="auto" w:fill="auto"/>
            <w:vAlign w:val="bottom"/>
          </w:tcPr>
          <w:p w:rsidR="00CA0173" w:rsidRPr="007418EB" w:rsidRDefault="00CA0173" w:rsidP="00DF4A81">
            <w:pPr>
              <w:spacing w:before="120" w:after="120" w:line="240" w:lineRule="auto"/>
              <w:rPr>
                <w:rFonts w:ascii="Times New Roman" w:hAnsi="Times New Roman" w:cs="Times New Roman"/>
                <w:color w:val="000000" w:themeColor="text1"/>
                <w:sz w:val="20"/>
                <w:szCs w:val="24"/>
              </w:rPr>
            </w:pPr>
            <w:r w:rsidRPr="007418EB">
              <w:rPr>
                <w:rFonts w:ascii="Times New Roman" w:hAnsi="Times New Roman" w:cs="Times New Roman"/>
                <w:color w:val="000000" w:themeColor="text1"/>
                <w:sz w:val="20"/>
                <w:szCs w:val="24"/>
              </w:rPr>
              <w:t>NER</w:t>
            </w:r>
          </w:p>
        </w:tc>
        <w:tc>
          <w:tcPr>
            <w:tcW w:w="0" w:type="auto"/>
            <w:shd w:val="clear" w:color="auto" w:fill="auto"/>
          </w:tcPr>
          <w:p w:rsidR="00CA0173" w:rsidRPr="007418EB" w:rsidRDefault="00CA0173" w:rsidP="00DF4A81">
            <w:pPr>
              <w:spacing w:before="120" w:after="120" w:line="240" w:lineRule="auto"/>
              <w:rPr>
                <w:rFonts w:ascii="Times New Roman" w:hAnsi="Times New Roman" w:cs="Times New Roman"/>
                <w:color w:val="000000" w:themeColor="text1"/>
                <w:sz w:val="20"/>
                <w:szCs w:val="24"/>
              </w:rPr>
            </w:pPr>
            <w:r w:rsidRPr="007418EB">
              <w:rPr>
                <w:rFonts w:ascii="Times New Roman" w:hAnsi="Times New Roman" w:cs="Times New Roman"/>
                <w:color w:val="000000" w:themeColor="text1"/>
                <w:sz w:val="20"/>
              </w:rPr>
              <w:t>-0.2660306*</w:t>
            </w:r>
          </w:p>
        </w:tc>
        <w:tc>
          <w:tcPr>
            <w:tcW w:w="0" w:type="auto"/>
            <w:shd w:val="clear" w:color="auto" w:fill="auto"/>
          </w:tcPr>
          <w:p w:rsidR="00CA0173" w:rsidRPr="007418EB" w:rsidRDefault="00CA0173" w:rsidP="00DF4A81">
            <w:pPr>
              <w:spacing w:before="120" w:after="120" w:line="240" w:lineRule="auto"/>
              <w:jc w:val="right"/>
              <w:rPr>
                <w:rFonts w:ascii="Times New Roman" w:hAnsi="Times New Roman" w:cs="Times New Roman"/>
                <w:color w:val="000000" w:themeColor="text1"/>
                <w:sz w:val="20"/>
                <w:szCs w:val="24"/>
              </w:rPr>
            </w:pPr>
            <w:r w:rsidRPr="007418EB">
              <w:rPr>
                <w:rFonts w:ascii="Times New Roman" w:hAnsi="Times New Roman" w:cs="Times New Roman"/>
                <w:color w:val="000000" w:themeColor="text1"/>
                <w:sz w:val="20"/>
              </w:rPr>
              <w:t>-1.68</w:t>
            </w:r>
          </w:p>
        </w:tc>
        <w:tc>
          <w:tcPr>
            <w:tcW w:w="0" w:type="auto"/>
            <w:shd w:val="clear" w:color="auto" w:fill="auto"/>
          </w:tcPr>
          <w:p w:rsidR="00CA0173" w:rsidRPr="007418EB" w:rsidRDefault="00CA0173" w:rsidP="00DF4A81">
            <w:pPr>
              <w:spacing w:before="120" w:after="120" w:line="240" w:lineRule="auto"/>
              <w:rPr>
                <w:rFonts w:ascii="Times New Roman" w:hAnsi="Times New Roman" w:cs="Times New Roman"/>
                <w:color w:val="000000" w:themeColor="text1"/>
                <w:sz w:val="20"/>
                <w:szCs w:val="24"/>
              </w:rPr>
            </w:pPr>
          </w:p>
        </w:tc>
        <w:tc>
          <w:tcPr>
            <w:tcW w:w="0" w:type="auto"/>
            <w:shd w:val="clear" w:color="auto" w:fill="auto"/>
          </w:tcPr>
          <w:p w:rsidR="00CA0173" w:rsidRPr="007418EB" w:rsidRDefault="00CA0173" w:rsidP="00DF4A81">
            <w:pPr>
              <w:spacing w:before="120" w:after="120" w:line="240" w:lineRule="auto"/>
              <w:jc w:val="right"/>
              <w:rPr>
                <w:rFonts w:ascii="Times New Roman" w:hAnsi="Times New Roman" w:cs="Times New Roman"/>
                <w:color w:val="000000" w:themeColor="text1"/>
                <w:sz w:val="20"/>
                <w:szCs w:val="24"/>
              </w:rPr>
            </w:pPr>
          </w:p>
        </w:tc>
      </w:tr>
      <w:tr w:rsidR="007418EB" w:rsidRPr="007418EB" w:rsidTr="00DF4A81">
        <w:trPr>
          <w:jc w:val="center"/>
        </w:trPr>
        <w:tc>
          <w:tcPr>
            <w:tcW w:w="0" w:type="auto"/>
            <w:shd w:val="clear" w:color="auto" w:fill="auto"/>
            <w:vAlign w:val="bottom"/>
          </w:tcPr>
          <w:p w:rsidR="00CA0173" w:rsidRPr="007418EB" w:rsidRDefault="00CA0173" w:rsidP="00DF4A81">
            <w:pPr>
              <w:spacing w:before="120" w:after="120" w:line="240" w:lineRule="auto"/>
              <w:rPr>
                <w:rFonts w:ascii="Times New Roman" w:hAnsi="Times New Roman" w:cs="Times New Roman"/>
                <w:color w:val="000000" w:themeColor="text1"/>
                <w:sz w:val="20"/>
                <w:szCs w:val="24"/>
              </w:rPr>
            </w:pPr>
            <w:r w:rsidRPr="007418EB">
              <w:rPr>
                <w:rFonts w:ascii="Times New Roman" w:hAnsi="Times New Roman" w:cs="Times New Roman"/>
                <w:color w:val="000000" w:themeColor="text1"/>
                <w:sz w:val="20"/>
                <w:szCs w:val="24"/>
              </w:rPr>
              <w:t>DTNER</w:t>
            </w:r>
          </w:p>
        </w:tc>
        <w:tc>
          <w:tcPr>
            <w:tcW w:w="0" w:type="auto"/>
            <w:shd w:val="clear" w:color="auto" w:fill="auto"/>
          </w:tcPr>
          <w:p w:rsidR="00CA0173" w:rsidRPr="007418EB" w:rsidRDefault="00CA0173" w:rsidP="00DF4A81">
            <w:pPr>
              <w:spacing w:before="120" w:after="120" w:line="240" w:lineRule="auto"/>
              <w:rPr>
                <w:rFonts w:ascii="Times New Roman" w:hAnsi="Times New Roman" w:cs="Times New Roman"/>
                <w:color w:val="000000" w:themeColor="text1"/>
                <w:sz w:val="20"/>
                <w:szCs w:val="24"/>
              </w:rPr>
            </w:pPr>
            <w:r w:rsidRPr="007418EB">
              <w:rPr>
                <w:rFonts w:ascii="Times New Roman" w:hAnsi="Times New Roman" w:cs="Times New Roman"/>
                <w:color w:val="000000" w:themeColor="text1"/>
                <w:sz w:val="20"/>
              </w:rPr>
              <w:t>-0.028482</w:t>
            </w:r>
          </w:p>
        </w:tc>
        <w:tc>
          <w:tcPr>
            <w:tcW w:w="0" w:type="auto"/>
            <w:shd w:val="clear" w:color="auto" w:fill="auto"/>
          </w:tcPr>
          <w:p w:rsidR="00CA0173" w:rsidRPr="007418EB" w:rsidRDefault="00CA0173" w:rsidP="00DF4A81">
            <w:pPr>
              <w:spacing w:before="120" w:after="120" w:line="240" w:lineRule="auto"/>
              <w:jc w:val="right"/>
              <w:rPr>
                <w:rFonts w:ascii="Times New Roman" w:hAnsi="Times New Roman" w:cs="Times New Roman"/>
                <w:color w:val="000000" w:themeColor="text1"/>
                <w:sz w:val="20"/>
                <w:szCs w:val="24"/>
              </w:rPr>
            </w:pPr>
            <w:r w:rsidRPr="007418EB">
              <w:rPr>
                <w:rFonts w:ascii="Times New Roman" w:hAnsi="Times New Roman" w:cs="Times New Roman"/>
                <w:color w:val="000000" w:themeColor="text1"/>
                <w:sz w:val="20"/>
              </w:rPr>
              <w:t>-0.14</w:t>
            </w:r>
          </w:p>
        </w:tc>
        <w:tc>
          <w:tcPr>
            <w:tcW w:w="0" w:type="auto"/>
            <w:shd w:val="clear" w:color="auto" w:fill="auto"/>
          </w:tcPr>
          <w:p w:rsidR="00CA0173" w:rsidRPr="007418EB" w:rsidRDefault="00CA0173" w:rsidP="00DF4A81">
            <w:pPr>
              <w:spacing w:before="120" w:after="120" w:line="240" w:lineRule="auto"/>
              <w:rPr>
                <w:rFonts w:ascii="Times New Roman" w:hAnsi="Times New Roman" w:cs="Times New Roman"/>
                <w:color w:val="000000" w:themeColor="text1"/>
                <w:sz w:val="20"/>
                <w:szCs w:val="24"/>
              </w:rPr>
            </w:pPr>
          </w:p>
        </w:tc>
        <w:tc>
          <w:tcPr>
            <w:tcW w:w="0" w:type="auto"/>
            <w:shd w:val="clear" w:color="auto" w:fill="auto"/>
          </w:tcPr>
          <w:p w:rsidR="00CA0173" w:rsidRPr="007418EB" w:rsidRDefault="00CA0173" w:rsidP="00DF4A81">
            <w:pPr>
              <w:spacing w:before="120" w:after="120" w:line="240" w:lineRule="auto"/>
              <w:jc w:val="right"/>
              <w:rPr>
                <w:rFonts w:ascii="Times New Roman" w:hAnsi="Times New Roman" w:cs="Times New Roman"/>
                <w:color w:val="000000" w:themeColor="text1"/>
                <w:sz w:val="20"/>
                <w:szCs w:val="24"/>
              </w:rPr>
            </w:pPr>
          </w:p>
        </w:tc>
      </w:tr>
      <w:tr w:rsidR="007418EB" w:rsidRPr="007418EB" w:rsidTr="00DF4A81">
        <w:trPr>
          <w:jc w:val="center"/>
        </w:trPr>
        <w:tc>
          <w:tcPr>
            <w:tcW w:w="0" w:type="auto"/>
            <w:shd w:val="clear" w:color="auto" w:fill="auto"/>
            <w:vAlign w:val="bottom"/>
          </w:tcPr>
          <w:p w:rsidR="00CA0173" w:rsidRPr="007418EB" w:rsidRDefault="00CA0173" w:rsidP="00DF4A81">
            <w:pPr>
              <w:spacing w:before="120" w:after="120" w:line="240" w:lineRule="auto"/>
              <w:rPr>
                <w:rFonts w:ascii="Times New Roman" w:hAnsi="Times New Roman" w:cs="Times New Roman"/>
                <w:color w:val="000000" w:themeColor="text1"/>
                <w:sz w:val="20"/>
                <w:szCs w:val="24"/>
              </w:rPr>
            </w:pPr>
            <w:r w:rsidRPr="007418EB">
              <w:rPr>
                <w:rFonts w:ascii="Times New Roman" w:hAnsi="Times New Roman" w:cs="Times New Roman"/>
                <w:color w:val="000000" w:themeColor="text1"/>
                <w:sz w:val="20"/>
                <w:szCs w:val="24"/>
              </w:rPr>
              <w:t>RER</w:t>
            </w:r>
          </w:p>
        </w:tc>
        <w:tc>
          <w:tcPr>
            <w:tcW w:w="0" w:type="auto"/>
            <w:shd w:val="clear" w:color="auto" w:fill="auto"/>
          </w:tcPr>
          <w:p w:rsidR="00CA0173" w:rsidRPr="007418EB" w:rsidRDefault="00CA0173" w:rsidP="00DF4A81">
            <w:pPr>
              <w:spacing w:before="120" w:after="120" w:line="240" w:lineRule="auto"/>
              <w:rPr>
                <w:rFonts w:ascii="Times New Roman" w:hAnsi="Times New Roman" w:cs="Times New Roman"/>
                <w:color w:val="000000" w:themeColor="text1"/>
                <w:sz w:val="20"/>
                <w:szCs w:val="24"/>
              </w:rPr>
            </w:pPr>
          </w:p>
        </w:tc>
        <w:tc>
          <w:tcPr>
            <w:tcW w:w="0" w:type="auto"/>
            <w:shd w:val="clear" w:color="auto" w:fill="auto"/>
          </w:tcPr>
          <w:p w:rsidR="00CA0173" w:rsidRPr="007418EB" w:rsidRDefault="00CA0173" w:rsidP="00DF4A81">
            <w:pPr>
              <w:spacing w:before="120" w:after="120" w:line="240" w:lineRule="auto"/>
              <w:jc w:val="right"/>
              <w:rPr>
                <w:rFonts w:ascii="Times New Roman" w:hAnsi="Times New Roman" w:cs="Times New Roman"/>
                <w:color w:val="000000" w:themeColor="text1"/>
                <w:sz w:val="20"/>
                <w:szCs w:val="24"/>
              </w:rPr>
            </w:pPr>
          </w:p>
        </w:tc>
        <w:tc>
          <w:tcPr>
            <w:tcW w:w="0" w:type="auto"/>
            <w:shd w:val="clear" w:color="auto" w:fill="auto"/>
          </w:tcPr>
          <w:p w:rsidR="00CA0173" w:rsidRPr="007418EB" w:rsidRDefault="00CA0173" w:rsidP="00DF4A81">
            <w:pPr>
              <w:spacing w:before="120" w:after="120" w:line="240" w:lineRule="auto"/>
              <w:rPr>
                <w:rFonts w:ascii="Times New Roman" w:hAnsi="Times New Roman" w:cs="Times New Roman"/>
                <w:color w:val="000000" w:themeColor="text1"/>
                <w:sz w:val="20"/>
                <w:szCs w:val="24"/>
              </w:rPr>
            </w:pPr>
            <w:r w:rsidRPr="007418EB">
              <w:rPr>
                <w:rFonts w:ascii="Times New Roman" w:hAnsi="Times New Roman" w:cs="Times New Roman"/>
                <w:color w:val="000000" w:themeColor="text1"/>
                <w:sz w:val="20"/>
              </w:rPr>
              <w:t>-0.2249776</w:t>
            </w:r>
          </w:p>
        </w:tc>
        <w:tc>
          <w:tcPr>
            <w:tcW w:w="0" w:type="auto"/>
            <w:shd w:val="clear" w:color="auto" w:fill="auto"/>
          </w:tcPr>
          <w:p w:rsidR="00CA0173" w:rsidRPr="007418EB" w:rsidRDefault="00CA0173" w:rsidP="00DF4A81">
            <w:pPr>
              <w:spacing w:before="120" w:after="120" w:line="240" w:lineRule="auto"/>
              <w:jc w:val="right"/>
              <w:rPr>
                <w:rFonts w:ascii="Times New Roman" w:hAnsi="Times New Roman" w:cs="Times New Roman"/>
                <w:color w:val="000000" w:themeColor="text1"/>
                <w:sz w:val="20"/>
                <w:szCs w:val="24"/>
              </w:rPr>
            </w:pPr>
            <w:r w:rsidRPr="007418EB">
              <w:rPr>
                <w:rFonts w:ascii="Times New Roman" w:hAnsi="Times New Roman" w:cs="Times New Roman"/>
                <w:color w:val="000000" w:themeColor="text1"/>
                <w:sz w:val="20"/>
              </w:rPr>
              <w:t>-1.46</w:t>
            </w:r>
          </w:p>
        </w:tc>
      </w:tr>
      <w:tr w:rsidR="007418EB" w:rsidRPr="007418EB" w:rsidTr="00DF4A81">
        <w:trPr>
          <w:jc w:val="center"/>
        </w:trPr>
        <w:tc>
          <w:tcPr>
            <w:tcW w:w="0" w:type="auto"/>
            <w:shd w:val="clear" w:color="auto" w:fill="auto"/>
            <w:vAlign w:val="bottom"/>
          </w:tcPr>
          <w:p w:rsidR="00CA0173" w:rsidRPr="007418EB" w:rsidRDefault="00CA0173" w:rsidP="00DF4A81">
            <w:pPr>
              <w:spacing w:before="120" w:after="120" w:line="240" w:lineRule="auto"/>
              <w:rPr>
                <w:rFonts w:ascii="Times New Roman" w:hAnsi="Times New Roman" w:cs="Times New Roman"/>
                <w:color w:val="000000" w:themeColor="text1"/>
                <w:sz w:val="20"/>
                <w:szCs w:val="24"/>
              </w:rPr>
            </w:pPr>
            <w:r w:rsidRPr="007418EB">
              <w:rPr>
                <w:rFonts w:ascii="Times New Roman" w:hAnsi="Times New Roman" w:cs="Times New Roman"/>
                <w:color w:val="000000" w:themeColor="text1"/>
                <w:sz w:val="20"/>
                <w:szCs w:val="24"/>
              </w:rPr>
              <w:t>DTRER</w:t>
            </w:r>
          </w:p>
        </w:tc>
        <w:tc>
          <w:tcPr>
            <w:tcW w:w="0" w:type="auto"/>
            <w:shd w:val="clear" w:color="auto" w:fill="auto"/>
            <w:vAlign w:val="bottom"/>
          </w:tcPr>
          <w:p w:rsidR="00CA0173" w:rsidRPr="007418EB" w:rsidRDefault="00CA0173" w:rsidP="00DF4A81">
            <w:pPr>
              <w:spacing w:before="120" w:after="120" w:line="240" w:lineRule="auto"/>
              <w:rPr>
                <w:rFonts w:ascii="Times New Roman" w:hAnsi="Times New Roman" w:cs="Times New Roman"/>
                <w:color w:val="000000" w:themeColor="text1"/>
                <w:sz w:val="20"/>
                <w:szCs w:val="24"/>
              </w:rPr>
            </w:pPr>
          </w:p>
        </w:tc>
        <w:tc>
          <w:tcPr>
            <w:tcW w:w="0" w:type="auto"/>
            <w:shd w:val="clear" w:color="auto" w:fill="auto"/>
            <w:vAlign w:val="bottom"/>
          </w:tcPr>
          <w:p w:rsidR="00CA0173" w:rsidRPr="007418EB" w:rsidRDefault="00CA0173" w:rsidP="00DF4A81">
            <w:pPr>
              <w:spacing w:before="120" w:after="120" w:line="240" w:lineRule="auto"/>
              <w:jc w:val="right"/>
              <w:rPr>
                <w:rFonts w:ascii="Times New Roman" w:hAnsi="Times New Roman" w:cs="Times New Roman"/>
                <w:color w:val="000000" w:themeColor="text1"/>
                <w:sz w:val="20"/>
                <w:szCs w:val="24"/>
              </w:rPr>
            </w:pPr>
          </w:p>
        </w:tc>
        <w:tc>
          <w:tcPr>
            <w:tcW w:w="0" w:type="auto"/>
            <w:shd w:val="clear" w:color="auto" w:fill="auto"/>
          </w:tcPr>
          <w:p w:rsidR="00CA0173" w:rsidRPr="007418EB" w:rsidRDefault="00CA0173" w:rsidP="00DF4A81">
            <w:pPr>
              <w:spacing w:before="120" w:after="120" w:line="240" w:lineRule="auto"/>
              <w:rPr>
                <w:rFonts w:ascii="Times New Roman" w:hAnsi="Times New Roman" w:cs="Times New Roman"/>
                <w:color w:val="000000" w:themeColor="text1"/>
                <w:sz w:val="20"/>
                <w:szCs w:val="24"/>
              </w:rPr>
            </w:pPr>
            <w:r w:rsidRPr="007418EB">
              <w:rPr>
                <w:rFonts w:ascii="Times New Roman" w:hAnsi="Times New Roman" w:cs="Times New Roman"/>
                <w:color w:val="000000" w:themeColor="text1"/>
                <w:sz w:val="20"/>
              </w:rPr>
              <w:t>-0.0470889</w:t>
            </w:r>
          </w:p>
        </w:tc>
        <w:tc>
          <w:tcPr>
            <w:tcW w:w="0" w:type="auto"/>
            <w:shd w:val="clear" w:color="auto" w:fill="auto"/>
          </w:tcPr>
          <w:p w:rsidR="00CA0173" w:rsidRPr="007418EB" w:rsidRDefault="00CA0173" w:rsidP="00DF4A81">
            <w:pPr>
              <w:spacing w:before="120" w:after="120" w:line="240" w:lineRule="auto"/>
              <w:jc w:val="right"/>
              <w:rPr>
                <w:rFonts w:ascii="Times New Roman" w:hAnsi="Times New Roman" w:cs="Times New Roman"/>
                <w:color w:val="000000" w:themeColor="text1"/>
                <w:sz w:val="20"/>
                <w:szCs w:val="24"/>
              </w:rPr>
            </w:pPr>
            <w:r w:rsidRPr="007418EB">
              <w:rPr>
                <w:rFonts w:ascii="Times New Roman" w:hAnsi="Times New Roman" w:cs="Times New Roman"/>
                <w:color w:val="000000" w:themeColor="text1"/>
                <w:sz w:val="20"/>
              </w:rPr>
              <w:t>-0.23</w:t>
            </w:r>
          </w:p>
        </w:tc>
      </w:tr>
      <w:tr w:rsidR="007418EB" w:rsidRPr="007418EB" w:rsidTr="00DF4A81">
        <w:trPr>
          <w:trHeight w:val="85"/>
          <w:jc w:val="center"/>
        </w:trPr>
        <w:tc>
          <w:tcPr>
            <w:tcW w:w="0" w:type="auto"/>
            <w:shd w:val="clear" w:color="auto" w:fill="auto"/>
            <w:vAlign w:val="bottom"/>
          </w:tcPr>
          <w:p w:rsidR="00CA0173" w:rsidRPr="007418EB" w:rsidRDefault="00CA0173" w:rsidP="00DF4A81">
            <w:pPr>
              <w:spacing w:before="120" w:after="120" w:line="240" w:lineRule="auto"/>
              <w:rPr>
                <w:rFonts w:ascii="Times New Roman" w:hAnsi="Times New Roman" w:cs="Times New Roman"/>
                <w:color w:val="000000" w:themeColor="text1"/>
                <w:sz w:val="20"/>
                <w:szCs w:val="24"/>
              </w:rPr>
            </w:pPr>
            <w:r w:rsidRPr="007418EB">
              <w:rPr>
                <w:rFonts w:ascii="Times New Roman" w:hAnsi="Times New Roman" w:cs="Times New Roman"/>
                <w:color w:val="000000" w:themeColor="text1"/>
                <w:sz w:val="20"/>
                <w:szCs w:val="24"/>
              </w:rPr>
              <w:t>Constant</w:t>
            </w:r>
          </w:p>
        </w:tc>
        <w:tc>
          <w:tcPr>
            <w:tcW w:w="0" w:type="auto"/>
            <w:shd w:val="clear" w:color="auto" w:fill="auto"/>
          </w:tcPr>
          <w:p w:rsidR="00CA0173" w:rsidRPr="007418EB" w:rsidRDefault="00CA0173" w:rsidP="00DF4A81">
            <w:pPr>
              <w:spacing w:before="120" w:after="120" w:line="240" w:lineRule="auto"/>
              <w:rPr>
                <w:rFonts w:ascii="Times New Roman" w:hAnsi="Times New Roman" w:cs="Times New Roman"/>
                <w:color w:val="000000" w:themeColor="text1"/>
                <w:sz w:val="20"/>
                <w:szCs w:val="24"/>
              </w:rPr>
            </w:pPr>
            <w:r w:rsidRPr="007418EB">
              <w:rPr>
                <w:rFonts w:ascii="Times New Roman" w:hAnsi="Times New Roman" w:cs="Times New Roman"/>
                <w:color w:val="000000" w:themeColor="text1"/>
                <w:sz w:val="20"/>
              </w:rPr>
              <w:t>0.0019874</w:t>
            </w:r>
          </w:p>
        </w:tc>
        <w:tc>
          <w:tcPr>
            <w:tcW w:w="0" w:type="auto"/>
            <w:shd w:val="clear" w:color="auto" w:fill="auto"/>
          </w:tcPr>
          <w:p w:rsidR="00CA0173" w:rsidRPr="007418EB" w:rsidRDefault="00CA0173" w:rsidP="00DF4A81">
            <w:pPr>
              <w:spacing w:before="120" w:after="120" w:line="240" w:lineRule="auto"/>
              <w:jc w:val="right"/>
              <w:rPr>
                <w:rFonts w:ascii="Times New Roman" w:hAnsi="Times New Roman" w:cs="Times New Roman"/>
                <w:color w:val="000000" w:themeColor="text1"/>
                <w:sz w:val="20"/>
                <w:szCs w:val="24"/>
              </w:rPr>
            </w:pPr>
            <w:r w:rsidRPr="007418EB">
              <w:rPr>
                <w:rFonts w:ascii="Times New Roman" w:hAnsi="Times New Roman" w:cs="Times New Roman"/>
                <w:color w:val="000000" w:themeColor="text1"/>
                <w:sz w:val="20"/>
              </w:rPr>
              <w:t>0.88</w:t>
            </w:r>
          </w:p>
        </w:tc>
        <w:tc>
          <w:tcPr>
            <w:tcW w:w="0" w:type="auto"/>
            <w:shd w:val="clear" w:color="auto" w:fill="auto"/>
          </w:tcPr>
          <w:p w:rsidR="00CA0173" w:rsidRPr="007418EB" w:rsidRDefault="00CA0173" w:rsidP="00DF4A81">
            <w:pPr>
              <w:spacing w:before="120" w:after="120" w:line="240" w:lineRule="auto"/>
              <w:rPr>
                <w:rFonts w:ascii="Times New Roman" w:hAnsi="Times New Roman" w:cs="Times New Roman"/>
                <w:color w:val="000000" w:themeColor="text1"/>
                <w:sz w:val="20"/>
                <w:szCs w:val="24"/>
              </w:rPr>
            </w:pPr>
            <w:r w:rsidRPr="007418EB">
              <w:rPr>
                <w:rFonts w:ascii="Times New Roman" w:hAnsi="Times New Roman" w:cs="Times New Roman"/>
                <w:color w:val="000000" w:themeColor="text1"/>
                <w:sz w:val="20"/>
              </w:rPr>
              <w:t>0.0018592</w:t>
            </w:r>
          </w:p>
        </w:tc>
        <w:tc>
          <w:tcPr>
            <w:tcW w:w="0" w:type="auto"/>
            <w:shd w:val="clear" w:color="auto" w:fill="auto"/>
          </w:tcPr>
          <w:p w:rsidR="00CA0173" w:rsidRPr="007418EB" w:rsidRDefault="00CA0173" w:rsidP="00DF4A81">
            <w:pPr>
              <w:spacing w:before="120" w:after="120" w:line="240" w:lineRule="auto"/>
              <w:jc w:val="right"/>
              <w:rPr>
                <w:rFonts w:ascii="Times New Roman" w:hAnsi="Times New Roman" w:cs="Times New Roman"/>
                <w:color w:val="000000" w:themeColor="text1"/>
                <w:sz w:val="20"/>
                <w:szCs w:val="24"/>
              </w:rPr>
            </w:pPr>
            <w:r w:rsidRPr="007418EB">
              <w:rPr>
                <w:rFonts w:ascii="Times New Roman" w:hAnsi="Times New Roman" w:cs="Times New Roman"/>
                <w:color w:val="000000" w:themeColor="text1"/>
                <w:sz w:val="20"/>
              </w:rPr>
              <w:t>0.81</w:t>
            </w:r>
          </w:p>
        </w:tc>
      </w:tr>
    </w:tbl>
    <w:p w:rsidR="00CB1844" w:rsidRPr="007418EB" w:rsidRDefault="001A439B" w:rsidP="001A439B">
      <w:pPr>
        <w:spacing w:after="0" w:line="340" w:lineRule="atLeast"/>
        <w:jc w:val="both"/>
        <w:rPr>
          <w:rFonts w:ascii="Times New Roman" w:eastAsia="Times New Roman" w:hAnsi="Times New Roman" w:cs="Times New Roman"/>
          <w:i/>
          <w:iCs/>
          <w:color w:val="000000" w:themeColor="text1"/>
          <w:sz w:val="20"/>
          <w:szCs w:val="20"/>
          <w:lang w:val="en-US"/>
        </w:rPr>
      </w:pPr>
      <w:r w:rsidRPr="007418EB">
        <w:rPr>
          <w:rFonts w:ascii="Times New Roman" w:eastAsia="Times New Roman" w:hAnsi="Times New Roman" w:cs="Times New Roman"/>
          <w:i/>
          <w:iCs/>
          <w:color w:val="000000" w:themeColor="text1"/>
          <w:sz w:val="20"/>
          <w:szCs w:val="20"/>
          <w:lang w:val="en-US"/>
        </w:rPr>
        <w:t>Notes: ***, **, and *, respectively, denote significance at the 1%, 5%, and 10% level.</w:t>
      </w:r>
    </w:p>
    <w:p w:rsidR="008330E8" w:rsidRPr="007418EB" w:rsidRDefault="008330E8" w:rsidP="00CB1844">
      <w:pPr>
        <w:spacing w:after="0" w:line="340" w:lineRule="atLeast"/>
        <w:jc w:val="both"/>
        <w:rPr>
          <w:rFonts w:ascii="Times New Roman" w:eastAsia="Times New Roman" w:hAnsi="Times New Roman" w:cs="Times New Roman"/>
          <w:b/>
          <w:bCs/>
          <w:color w:val="000000" w:themeColor="text1"/>
          <w:lang w:val="en-US"/>
        </w:rPr>
      </w:pPr>
      <w:bookmarkStart w:id="14" w:name="_Toc24281248"/>
    </w:p>
    <w:p w:rsidR="008330E8" w:rsidRPr="007418EB" w:rsidRDefault="008330E8" w:rsidP="00CB1844">
      <w:pPr>
        <w:spacing w:after="0" w:line="340" w:lineRule="atLeast"/>
        <w:jc w:val="both"/>
        <w:rPr>
          <w:rFonts w:ascii="Times New Roman" w:eastAsia="Times New Roman" w:hAnsi="Times New Roman" w:cs="Times New Roman"/>
          <w:b/>
          <w:bCs/>
          <w:color w:val="000000" w:themeColor="text1"/>
          <w:lang w:val="en-US"/>
        </w:rPr>
      </w:pPr>
    </w:p>
    <w:p w:rsidR="00CB1844" w:rsidRPr="007418EB" w:rsidRDefault="00CA0173"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b/>
          <w:bCs/>
          <w:color w:val="000000" w:themeColor="text1"/>
          <w:lang w:val="en-US"/>
        </w:rPr>
        <w:t>Table 4.</w:t>
      </w:r>
      <w:r w:rsidR="00CB1844" w:rsidRPr="007418EB">
        <w:rPr>
          <w:rFonts w:ascii="Times New Roman" w:eastAsia="Times New Roman" w:hAnsi="Times New Roman" w:cs="Times New Roman"/>
          <w:b/>
          <w:bCs/>
          <w:color w:val="000000" w:themeColor="text1"/>
          <w:lang w:val="en-US"/>
        </w:rPr>
        <w:t>16 The results of regression e</w:t>
      </w:r>
      <w:r w:rsidR="0086500A" w:rsidRPr="007418EB">
        <w:rPr>
          <w:rFonts w:ascii="Times New Roman" w:eastAsia="Times New Roman" w:hAnsi="Times New Roman" w:cs="Times New Roman"/>
          <w:b/>
          <w:bCs/>
          <w:color w:val="000000" w:themeColor="text1"/>
          <w:lang w:val="en-US"/>
        </w:rPr>
        <w:t>quation (3.4) and (3.5) by</w:t>
      </w:r>
      <w:r w:rsidR="00CB1844" w:rsidRPr="007418EB">
        <w:rPr>
          <w:rFonts w:ascii="Times New Roman" w:eastAsia="Times New Roman" w:hAnsi="Times New Roman" w:cs="Times New Roman"/>
          <w:b/>
          <w:bCs/>
          <w:color w:val="000000" w:themeColor="text1"/>
          <w:lang w:val="en-US"/>
        </w:rPr>
        <w:t xml:space="preserve"> DGMM</w:t>
      </w:r>
      <w:bookmarkEnd w:id="1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9"/>
        <w:gridCol w:w="1437"/>
        <w:gridCol w:w="1000"/>
        <w:gridCol w:w="1437"/>
        <w:gridCol w:w="1000"/>
      </w:tblGrid>
      <w:tr w:rsidR="007418EB" w:rsidRPr="007418EB" w:rsidTr="00DF4A81">
        <w:trPr>
          <w:jc w:val="center"/>
        </w:trPr>
        <w:tc>
          <w:tcPr>
            <w:tcW w:w="0" w:type="auto"/>
            <w:vMerge w:val="restart"/>
            <w:shd w:val="clear" w:color="auto" w:fill="auto"/>
            <w:vAlign w:val="bottom"/>
          </w:tcPr>
          <w:p w:rsidR="00CA0173" w:rsidRPr="007418EB" w:rsidRDefault="00CA0173" w:rsidP="00DF4A81">
            <w:pPr>
              <w:widowControl w:val="0"/>
              <w:autoSpaceDE w:val="0"/>
              <w:autoSpaceDN w:val="0"/>
              <w:adjustRightInd w:val="0"/>
              <w:spacing w:before="120" w:after="120" w:line="240" w:lineRule="auto"/>
              <w:ind w:right="85"/>
              <w:jc w:val="center"/>
              <w:rPr>
                <w:rFonts w:ascii="Times New Roman" w:hAnsi="Times New Roman" w:cs="Times New Roman"/>
                <w:b/>
                <w:color w:val="000000" w:themeColor="text1"/>
                <w:sz w:val="20"/>
                <w:szCs w:val="24"/>
              </w:rPr>
            </w:pPr>
            <w:r w:rsidRPr="007418EB">
              <w:rPr>
                <w:rFonts w:ascii="Times New Roman" w:hAnsi="Times New Roman" w:cs="Times New Roman"/>
                <w:b/>
                <w:color w:val="000000" w:themeColor="text1"/>
                <w:sz w:val="20"/>
                <w:szCs w:val="24"/>
              </w:rPr>
              <w:t>Variable</w:t>
            </w:r>
          </w:p>
        </w:tc>
        <w:tc>
          <w:tcPr>
            <w:tcW w:w="0" w:type="auto"/>
            <w:gridSpan w:val="2"/>
            <w:shd w:val="clear" w:color="auto" w:fill="auto"/>
          </w:tcPr>
          <w:p w:rsidR="00CA0173" w:rsidRPr="007418EB" w:rsidRDefault="001A439B" w:rsidP="00DF4A81">
            <w:pPr>
              <w:widowControl w:val="0"/>
              <w:autoSpaceDE w:val="0"/>
              <w:autoSpaceDN w:val="0"/>
              <w:adjustRightInd w:val="0"/>
              <w:spacing w:before="120" w:after="120" w:line="240" w:lineRule="auto"/>
              <w:ind w:right="85"/>
              <w:jc w:val="center"/>
              <w:rPr>
                <w:rFonts w:ascii="Times New Roman" w:hAnsi="Times New Roman" w:cs="Times New Roman"/>
                <w:b/>
                <w:color w:val="000000" w:themeColor="text1"/>
                <w:sz w:val="20"/>
                <w:szCs w:val="24"/>
              </w:rPr>
            </w:pPr>
            <w:r w:rsidRPr="007418EB">
              <w:rPr>
                <w:rFonts w:ascii="Times New Roman" w:hAnsi="Times New Roman" w:cs="Times New Roman"/>
                <w:b/>
                <w:color w:val="000000" w:themeColor="text1"/>
                <w:sz w:val="20"/>
                <w:szCs w:val="24"/>
              </w:rPr>
              <w:t xml:space="preserve">Equation </w:t>
            </w:r>
            <w:r w:rsidR="00CA0173" w:rsidRPr="007418EB">
              <w:rPr>
                <w:rFonts w:ascii="Times New Roman" w:hAnsi="Times New Roman" w:cs="Times New Roman"/>
                <w:b/>
                <w:color w:val="000000" w:themeColor="text1"/>
                <w:sz w:val="20"/>
                <w:szCs w:val="24"/>
              </w:rPr>
              <w:t>(3.4)</w:t>
            </w:r>
          </w:p>
        </w:tc>
        <w:tc>
          <w:tcPr>
            <w:tcW w:w="0" w:type="auto"/>
            <w:gridSpan w:val="2"/>
            <w:shd w:val="clear" w:color="auto" w:fill="auto"/>
          </w:tcPr>
          <w:p w:rsidR="00CA0173" w:rsidRPr="007418EB" w:rsidRDefault="001A439B" w:rsidP="00DF4A81">
            <w:pPr>
              <w:widowControl w:val="0"/>
              <w:autoSpaceDE w:val="0"/>
              <w:autoSpaceDN w:val="0"/>
              <w:adjustRightInd w:val="0"/>
              <w:spacing w:before="120" w:after="120" w:line="240" w:lineRule="auto"/>
              <w:ind w:right="85"/>
              <w:jc w:val="center"/>
              <w:rPr>
                <w:rFonts w:ascii="Times New Roman" w:hAnsi="Times New Roman" w:cs="Times New Roman"/>
                <w:b/>
                <w:color w:val="000000" w:themeColor="text1"/>
                <w:sz w:val="20"/>
                <w:szCs w:val="24"/>
              </w:rPr>
            </w:pPr>
            <w:r w:rsidRPr="007418EB">
              <w:rPr>
                <w:rFonts w:ascii="Times New Roman" w:hAnsi="Times New Roman" w:cs="Times New Roman"/>
                <w:b/>
                <w:color w:val="000000" w:themeColor="text1"/>
                <w:sz w:val="20"/>
                <w:szCs w:val="24"/>
              </w:rPr>
              <w:t xml:space="preserve">Equation </w:t>
            </w:r>
            <w:r w:rsidR="00CA0173" w:rsidRPr="007418EB">
              <w:rPr>
                <w:rFonts w:ascii="Times New Roman" w:hAnsi="Times New Roman" w:cs="Times New Roman"/>
                <w:b/>
                <w:color w:val="000000" w:themeColor="text1"/>
                <w:sz w:val="20"/>
                <w:szCs w:val="24"/>
              </w:rPr>
              <w:t>(3.5)</w:t>
            </w:r>
          </w:p>
        </w:tc>
      </w:tr>
      <w:tr w:rsidR="007418EB" w:rsidRPr="007418EB" w:rsidTr="00DF4A81">
        <w:trPr>
          <w:jc w:val="center"/>
        </w:trPr>
        <w:tc>
          <w:tcPr>
            <w:tcW w:w="0" w:type="auto"/>
            <w:vMerge/>
            <w:shd w:val="clear" w:color="auto" w:fill="auto"/>
          </w:tcPr>
          <w:p w:rsidR="00CA0173" w:rsidRPr="007418EB" w:rsidRDefault="00CA0173" w:rsidP="00DF4A81">
            <w:pPr>
              <w:widowControl w:val="0"/>
              <w:autoSpaceDE w:val="0"/>
              <w:autoSpaceDN w:val="0"/>
              <w:adjustRightInd w:val="0"/>
              <w:spacing w:before="120" w:after="120" w:line="240" w:lineRule="auto"/>
              <w:ind w:right="85"/>
              <w:jc w:val="center"/>
              <w:rPr>
                <w:rFonts w:ascii="Times New Roman" w:hAnsi="Times New Roman" w:cs="Times New Roman"/>
                <w:b/>
                <w:color w:val="000000" w:themeColor="text1"/>
                <w:sz w:val="20"/>
                <w:szCs w:val="24"/>
              </w:rPr>
            </w:pPr>
          </w:p>
        </w:tc>
        <w:tc>
          <w:tcPr>
            <w:tcW w:w="0" w:type="auto"/>
            <w:shd w:val="clear" w:color="auto" w:fill="auto"/>
          </w:tcPr>
          <w:p w:rsidR="00CA0173" w:rsidRPr="007418EB" w:rsidRDefault="00CA0173" w:rsidP="00DF4A81">
            <w:pPr>
              <w:widowControl w:val="0"/>
              <w:autoSpaceDE w:val="0"/>
              <w:autoSpaceDN w:val="0"/>
              <w:adjustRightInd w:val="0"/>
              <w:spacing w:before="120" w:after="120" w:line="240" w:lineRule="auto"/>
              <w:ind w:right="85"/>
              <w:jc w:val="center"/>
              <w:rPr>
                <w:rFonts w:ascii="Times New Roman" w:hAnsi="Times New Roman" w:cs="Times New Roman"/>
                <w:b/>
                <w:color w:val="000000" w:themeColor="text1"/>
                <w:sz w:val="20"/>
                <w:szCs w:val="24"/>
              </w:rPr>
            </w:pPr>
            <w:r w:rsidRPr="007418EB">
              <w:rPr>
                <w:rFonts w:ascii="Times New Roman" w:hAnsi="Times New Roman" w:cs="Times New Roman"/>
                <w:b/>
                <w:color w:val="000000" w:themeColor="text1"/>
                <w:sz w:val="20"/>
                <w:szCs w:val="24"/>
              </w:rPr>
              <w:t>Beta coefficient</w:t>
            </w:r>
          </w:p>
        </w:tc>
        <w:tc>
          <w:tcPr>
            <w:tcW w:w="0" w:type="auto"/>
            <w:shd w:val="clear" w:color="auto" w:fill="auto"/>
          </w:tcPr>
          <w:p w:rsidR="00CA0173" w:rsidRPr="007418EB" w:rsidRDefault="00CA0173" w:rsidP="00DF4A81">
            <w:pPr>
              <w:widowControl w:val="0"/>
              <w:autoSpaceDE w:val="0"/>
              <w:autoSpaceDN w:val="0"/>
              <w:adjustRightInd w:val="0"/>
              <w:spacing w:before="120" w:after="120" w:line="240" w:lineRule="auto"/>
              <w:ind w:right="85"/>
              <w:jc w:val="center"/>
              <w:rPr>
                <w:rFonts w:ascii="Times New Roman" w:hAnsi="Times New Roman" w:cs="Times New Roman"/>
                <w:b/>
                <w:color w:val="000000" w:themeColor="text1"/>
                <w:sz w:val="20"/>
                <w:szCs w:val="24"/>
              </w:rPr>
            </w:pPr>
            <w:r w:rsidRPr="007418EB">
              <w:rPr>
                <w:rFonts w:ascii="Times New Roman" w:hAnsi="Times New Roman" w:cs="Times New Roman"/>
                <w:b/>
                <w:color w:val="000000" w:themeColor="text1"/>
                <w:sz w:val="20"/>
                <w:szCs w:val="24"/>
              </w:rPr>
              <w:t>z-statistic</w:t>
            </w:r>
          </w:p>
        </w:tc>
        <w:tc>
          <w:tcPr>
            <w:tcW w:w="0" w:type="auto"/>
            <w:shd w:val="clear" w:color="auto" w:fill="auto"/>
          </w:tcPr>
          <w:p w:rsidR="00CA0173" w:rsidRPr="007418EB" w:rsidRDefault="00CA0173" w:rsidP="00DF4A81">
            <w:pPr>
              <w:widowControl w:val="0"/>
              <w:autoSpaceDE w:val="0"/>
              <w:autoSpaceDN w:val="0"/>
              <w:adjustRightInd w:val="0"/>
              <w:spacing w:before="120" w:after="120" w:line="240" w:lineRule="auto"/>
              <w:ind w:right="85"/>
              <w:jc w:val="center"/>
              <w:rPr>
                <w:rFonts w:ascii="Times New Roman" w:hAnsi="Times New Roman" w:cs="Times New Roman"/>
                <w:b/>
                <w:color w:val="000000" w:themeColor="text1"/>
                <w:sz w:val="20"/>
                <w:szCs w:val="24"/>
              </w:rPr>
            </w:pPr>
            <w:r w:rsidRPr="007418EB">
              <w:rPr>
                <w:rFonts w:ascii="Times New Roman" w:hAnsi="Times New Roman" w:cs="Times New Roman"/>
                <w:b/>
                <w:color w:val="000000" w:themeColor="text1"/>
                <w:sz w:val="20"/>
                <w:szCs w:val="24"/>
              </w:rPr>
              <w:t>Beta coefficient</w:t>
            </w:r>
          </w:p>
        </w:tc>
        <w:tc>
          <w:tcPr>
            <w:tcW w:w="0" w:type="auto"/>
            <w:shd w:val="clear" w:color="auto" w:fill="auto"/>
          </w:tcPr>
          <w:p w:rsidR="00CA0173" w:rsidRPr="007418EB" w:rsidRDefault="00CA0173" w:rsidP="00DF4A81">
            <w:pPr>
              <w:widowControl w:val="0"/>
              <w:autoSpaceDE w:val="0"/>
              <w:autoSpaceDN w:val="0"/>
              <w:adjustRightInd w:val="0"/>
              <w:spacing w:before="120" w:after="120" w:line="240" w:lineRule="auto"/>
              <w:ind w:right="85"/>
              <w:jc w:val="center"/>
              <w:rPr>
                <w:rFonts w:ascii="Times New Roman" w:hAnsi="Times New Roman" w:cs="Times New Roman"/>
                <w:b/>
                <w:color w:val="000000" w:themeColor="text1"/>
                <w:sz w:val="20"/>
                <w:szCs w:val="24"/>
              </w:rPr>
            </w:pPr>
            <w:r w:rsidRPr="007418EB">
              <w:rPr>
                <w:rFonts w:ascii="Times New Roman" w:hAnsi="Times New Roman" w:cs="Times New Roman"/>
                <w:b/>
                <w:color w:val="000000" w:themeColor="text1"/>
                <w:sz w:val="20"/>
                <w:szCs w:val="24"/>
              </w:rPr>
              <w:t>z-statistic</w:t>
            </w:r>
          </w:p>
        </w:tc>
      </w:tr>
      <w:tr w:rsidR="007418EB" w:rsidRPr="007418EB" w:rsidTr="00DF4A81">
        <w:trPr>
          <w:jc w:val="center"/>
        </w:trPr>
        <w:tc>
          <w:tcPr>
            <w:tcW w:w="0" w:type="auto"/>
            <w:shd w:val="clear" w:color="auto" w:fill="auto"/>
            <w:vAlign w:val="bottom"/>
          </w:tcPr>
          <w:p w:rsidR="00CA0173" w:rsidRPr="007418EB" w:rsidRDefault="00CA0173" w:rsidP="00DF4A81">
            <w:pPr>
              <w:spacing w:before="120" w:after="120" w:line="240" w:lineRule="auto"/>
              <w:rPr>
                <w:rFonts w:ascii="Times New Roman" w:hAnsi="Times New Roman" w:cs="Times New Roman"/>
                <w:color w:val="000000" w:themeColor="text1"/>
                <w:sz w:val="20"/>
                <w:szCs w:val="24"/>
              </w:rPr>
            </w:pPr>
            <w:r w:rsidRPr="007418EB">
              <w:rPr>
                <w:rFonts w:ascii="Times New Roman" w:hAnsi="Times New Roman" w:cs="Times New Roman"/>
                <w:color w:val="000000" w:themeColor="text1"/>
                <w:sz w:val="20"/>
                <w:szCs w:val="24"/>
              </w:rPr>
              <w:t>INDEX(-1)</w:t>
            </w:r>
          </w:p>
        </w:tc>
        <w:tc>
          <w:tcPr>
            <w:tcW w:w="0" w:type="auto"/>
            <w:shd w:val="clear" w:color="auto" w:fill="auto"/>
          </w:tcPr>
          <w:p w:rsidR="00CA0173" w:rsidRPr="007418EB" w:rsidRDefault="00CA0173" w:rsidP="00DF4A81">
            <w:pPr>
              <w:spacing w:before="120" w:after="120" w:line="240" w:lineRule="auto"/>
              <w:rPr>
                <w:rFonts w:ascii="Times New Roman" w:hAnsi="Times New Roman" w:cs="Times New Roman"/>
                <w:color w:val="000000" w:themeColor="text1"/>
                <w:sz w:val="20"/>
                <w:szCs w:val="24"/>
              </w:rPr>
            </w:pPr>
            <w:r w:rsidRPr="007418EB">
              <w:rPr>
                <w:rFonts w:ascii="Times New Roman" w:hAnsi="Times New Roman" w:cs="Times New Roman"/>
                <w:color w:val="000000" w:themeColor="text1"/>
                <w:sz w:val="20"/>
              </w:rPr>
              <w:t>0.0540751*</w:t>
            </w:r>
          </w:p>
        </w:tc>
        <w:tc>
          <w:tcPr>
            <w:tcW w:w="0" w:type="auto"/>
            <w:shd w:val="clear" w:color="auto" w:fill="auto"/>
          </w:tcPr>
          <w:p w:rsidR="00CA0173" w:rsidRPr="007418EB" w:rsidRDefault="00CA0173" w:rsidP="00DF4A81">
            <w:pPr>
              <w:spacing w:before="120" w:after="120" w:line="240" w:lineRule="auto"/>
              <w:jc w:val="right"/>
              <w:rPr>
                <w:rFonts w:ascii="Times New Roman" w:hAnsi="Times New Roman" w:cs="Times New Roman"/>
                <w:color w:val="000000" w:themeColor="text1"/>
                <w:sz w:val="20"/>
                <w:szCs w:val="24"/>
              </w:rPr>
            </w:pPr>
            <w:r w:rsidRPr="007418EB">
              <w:rPr>
                <w:rFonts w:ascii="Times New Roman" w:hAnsi="Times New Roman" w:cs="Times New Roman"/>
                <w:color w:val="000000" w:themeColor="text1"/>
                <w:sz w:val="20"/>
              </w:rPr>
              <w:t>1.7</w:t>
            </w:r>
          </w:p>
        </w:tc>
        <w:tc>
          <w:tcPr>
            <w:tcW w:w="0" w:type="auto"/>
            <w:shd w:val="clear" w:color="auto" w:fill="auto"/>
          </w:tcPr>
          <w:p w:rsidR="00CA0173" w:rsidRPr="007418EB" w:rsidRDefault="00CA0173" w:rsidP="00DF4A81">
            <w:pPr>
              <w:spacing w:before="120" w:after="120" w:line="240" w:lineRule="auto"/>
              <w:rPr>
                <w:rFonts w:ascii="Times New Roman" w:hAnsi="Times New Roman" w:cs="Times New Roman"/>
                <w:color w:val="000000" w:themeColor="text1"/>
                <w:sz w:val="20"/>
                <w:szCs w:val="24"/>
              </w:rPr>
            </w:pPr>
            <w:r w:rsidRPr="007418EB">
              <w:rPr>
                <w:rFonts w:ascii="Times New Roman" w:hAnsi="Times New Roman" w:cs="Times New Roman"/>
                <w:color w:val="000000" w:themeColor="text1"/>
                <w:sz w:val="20"/>
              </w:rPr>
              <w:t>0.0708132**</w:t>
            </w:r>
          </w:p>
        </w:tc>
        <w:tc>
          <w:tcPr>
            <w:tcW w:w="0" w:type="auto"/>
            <w:shd w:val="clear" w:color="auto" w:fill="auto"/>
          </w:tcPr>
          <w:p w:rsidR="00CA0173" w:rsidRPr="007418EB" w:rsidRDefault="00CA0173" w:rsidP="00DF4A81">
            <w:pPr>
              <w:spacing w:before="120" w:after="120" w:line="240" w:lineRule="auto"/>
              <w:jc w:val="right"/>
              <w:rPr>
                <w:rFonts w:ascii="Times New Roman" w:hAnsi="Times New Roman" w:cs="Times New Roman"/>
                <w:color w:val="000000" w:themeColor="text1"/>
                <w:sz w:val="20"/>
                <w:szCs w:val="24"/>
              </w:rPr>
            </w:pPr>
            <w:r w:rsidRPr="007418EB">
              <w:rPr>
                <w:rFonts w:ascii="Times New Roman" w:hAnsi="Times New Roman" w:cs="Times New Roman"/>
                <w:color w:val="000000" w:themeColor="text1"/>
                <w:sz w:val="20"/>
              </w:rPr>
              <w:t>2.02</w:t>
            </w:r>
          </w:p>
        </w:tc>
      </w:tr>
      <w:tr w:rsidR="007418EB" w:rsidRPr="007418EB" w:rsidTr="00DF4A81">
        <w:trPr>
          <w:jc w:val="center"/>
        </w:trPr>
        <w:tc>
          <w:tcPr>
            <w:tcW w:w="0" w:type="auto"/>
            <w:shd w:val="clear" w:color="auto" w:fill="auto"/>
            <w:vAlign w:val="bottom"/>
          </w:tcPr>
          <w:p w:rsidR="00CA0173" w:rsidRPr="007418EB" w:rsidRDefault="00CA0173" w:rsidP="00DF4A81">
            <w:pPr>
              <w:spacing w:before="120" w:after="120" w:line="240" w:lineRule="auto"/>
              <w:rPr>
                <w:rFonts w:ascii="Times New Roman" w:hAnsi="Times New Roman" w:cs="Times New Roman"/>
                <w:color w:val="000000" w:themeColor="text1"/>
                <w:sz w:val="20"/>
                <w:szCs w:val="24"/>
              </w:rPr>
            </w:pPr>
            <w:r w:rsidRPr="007418EB">
              <w:rPr>
                <w:rFonts w:ascii="Times New Roman" w:hAnsi="Times New Roman" w:cs="Times New Roman"/>
                <w:color w:val="000000" w:themeColor="text1"/>
                <w:sz w:val="20"/>
                <w:szCs w:val="24"/>
              </w:rPr>
              <w:t>MSCIACWI</w:t>
            </w:r>
          </w:p>
        </w:tc>
        <w:tc>
          <w:tcPr>
            <w:tcW w:w="0" w:type="auto"/>
            <w:shd w:val="clear" w:color="auto" w:fill="auto"/>
          </w:tcPr>
          <w:p w:rsidR="00CA0173" w:rsidRPr="007418EB" w:rsidRDefault="00CA0173" w:rsidP="00DF4A81">
            <w:pPr>
              <w:spacing w:before="120" w:after="120" w:line="240" w:lineRule="auto"/>
              <w:rPr>
                <w:rFonts w:ascii="Times New Roman" w:hAnsi="Times New Roman" w:cs="Times New Roman"/>
                <w:color w:val="000000" w:themeColor="text1"/>
                <w:sz w:val="20"/>
                <w:szCs w:val="24"/>
              </w:rPr>
            </w:pPr>
            <w:r w:rsidRPr="007418EB">
              <w:rPr>
                <w:rFonts w:ascii="Times New Roman" w:hAnsi="Times New Roman" w:cs="Times New Roman"/>
                <w:color w:val="000000" w:themeColor="text1"/>
                <w:sz w:val="20"/>
              </w:rPr>
              <w:t>0.3431799***</w:t>
            </w:r>
          </w:p>
        </w:tc>
        <w:tc>
          <w:tcPr>
            <w:tcW w:w="0" w:type="auto"/>
            <w:shd w:val="clear" w:color="auto" w:fill="auto"/>
          </w:tcPr>
          <w:p w:rsidR="00CA0173" w:rsidRPr="007418EB" w:rsidRDefault="00CA0173" w:rsidP="00DF4A81">
            <w:pPr>
              <w:spacing w:before="120" w:after="120" w:line="240" w:lineRule="auto"/>
              <w:jc w:val="right"/>
              <w:rPr>
                <w:rFonts w:ascii="Times New Roman" w:hAnsi="Times New Roman" w:cs="Times New Roman"/>
                <w:color w:val="000000" w:themeColor="text1"/>
                <w:sz w:val="20"/>
                <w:szCs w:val="24"/>
              </w:rPr>
            </w:pPr>
            <w:r w:rsidRPr="007418EB">
              <w:rPr>
                <w:rFonts w:ascii="Times New Roman" w:hAnsi="Times New Roman" w:cs="Times New Roman"/>
                <w:color w:val="000000" w:themeColor="text1"/>
                <w:sz w:val="20"/>
              </w:rPr>
              <w:t>4.15</w:t>
            </w:r>
          </w:p>
        </w:tc>
        <w:tc>
          <w:tcPr>
            <w:tcW w:w="0" w:type="auto"/>
            <w:shd w:val="clear" w:color="auto" w:fill="auto"/>
          </w:tcPr>
          <w:p w:rsidR="00CA0173" w:rsidRPr="007418EB" w:rsidRDefault="00CA0173" w:rsidP="00DF4A81">
            <w:pPr>
              <w:spacing w:before="120" w:after="120" w:line="240" w:lineRule="auto"/>
              <w:rPr>
                <w:rFonts w:ascii="Times New Roman" w:hAnsi="Times New Roman" w:cs="Times New Roman"/>
                <w:color w:val="000000" w:themeColor="text1"/>
                <w:sz w:val="20"/>
                <w:szCs w:val="24"/>
              </w:rPr>
            </w:pPr>
            <w:r w:rsidRPr="007418EB">
              <w:rPr>
                <w:rFonts w:ascii="Times New Roman" w:hAnsi="Times New Roman" w:cs="Times New Roman"/>
                <w:color w:val="000000" w:themeColor="text1"/>
                <w:sz w:val="20"/>
              </w:rPr>
              <w:t>0.3807336***</w:t>
            </w:r>
          </w:p>
        </w:tc>
        <w:tc>
          <w:tcPr>
            <w:tcW w:w="0" w:type="auto"/>
            <w:shd w:val="clear" w:color="auto" w:fill="auto"/>
          </w:tcPr>
          <w:p w:rsidR="00CA0173" w:rsidRPr="007418EB" w:rsidRDefault="00CA0173" w:rsidP="00DF4A81">
            <w:pPr>
              <w:spacing w:before="120" w:after="120" w:line="240" w:lineRule="auto"/>
              <w:jc w:val="right"/>
              <w:rPr>
                <w:rFonts w:ascii="Times New Roman" w:hAnsi="Times New Roman" w:cs="Times New Roman"/>
                <w:color w:val="000000" w:themeColor="text1"/>
                <w:sz w:val="20"/>
                <w:szCs w:val="24"/>
              </w:rPr>
            </w:pPr>
            <w:r w:rsidRPr="007418EB">
              <w:rPr>
                <w:rFonts w:ascii="Times New Roman" w:hAnsi="Times New Roman" w:cs="Times New Roman"/>
                <w:color w:val="000000" w:themeColor="text1"/>
                <w:sz w:val="20"/>
              </w:rPr>
              <w:t>4.60</w:t>
            </w:r>
          </w:p>
        </w:tc>
      </w:tr>
      <w:tr w:rsidR="007418EB" w:rsidRPr="007418EB" w:rsidTr="00DF4A81">
        <w:trPr>
          <w:jc w:val="center"/>
        </w:trPr>
        <w:tc>
          <w:tcPr>
            <w:tcW w:w="0" w:type="auto"/>
            <w:shd w:val="clear" w:color="auto" w:fill="auto"/>
            <w:vAlign w:val="bottom"/>
          </w:tcPr>
          <w:p w:rsidR="00CA0173" w:rsidRPr="007418EB" w:rsidRDefault="00CA0173" w:rsidP="00DF4A81">
            <w:pPr>
              <w:spacing w:before="120" w:after="120" w:line="240" w:lineRule="auto"/>
              <w:rPr>
                <w:rFonts w:ascii="Times New Roman" w:hAnsi="Times New Roman" w:cs="Times New Roman"/>
                <w:color w:val="000000" w:themeColor="text1"/>
                <w:sz w:val="20"/>
                <w:szCs w:val="24"/>
              </w:rPr>
            </w:pPr>
            <w:r w:rsidRPr="007418EB">
              <w:rPr>
                <w:rFonts w:ascii="Times New Roman" w:hAnsi="Times New Roman" w:cs="Times New Roman"/>
                <w:color w:val="000000" w:themeColor="text1"/>
                <w:sz w:val="20"/>
                <w:szCs w:val="24"/>
              </w:rPr>
              <w:t>NER</w:t>
            </w:r>
          </w:p>
        </w:tc>
        <w:tc>
          <w:tcPr>
            <w:tcW w:w="0" w:type="auto"/>
            <w:shd w:val="clear" w:color="auto" w:fill="auto"/>
          </w:tcPr>
          <w:p w:rsidR="00CA0173" w:rsidRPr="007418EB" w:rsidRDefault="00CA0173" w:rsidP="00DF4A81">
            <w:pPr>
              <w:spacing w:before="120" w:after="120" w:line="240" w:lineRule="auto"/>
              <w:rPr>
                <w:rFonts w:ascii="Times New Roman" w:hAnsi="Times New Roman" w:cs="Times New Roman"/>
                <w:color w:val="000000" w:themeColor="text1"/>
                <w:sz w:val="20"/>
                <w:szCs w:val="24"/>
              </w:rPr>
            </w:pPr>
            <w:r w:rsidRPr="007418EB">
              <w:rPr>
                <w:rFonts w:ascii="Times New Roman" w:hAnsi="Times New Roman" w:cs="Times New Roman"/>
                <w:color w:val="000000" w:themeColor="text1"/>
                <w:sz w:val="20"/>
              </w:rPr>
              <w:t>-1.318789***</w:t>
            </w:r>
          </w:p>
        </w:tc>
        <w:tc>
          <w:tcPr>
            <w:tcW w:w="0" w:type="auto"/>
            <w:shd w:val="clear" w:color="auto" w:fill="auto"/>
          </w:tcPr>
          <w:p w:rsidR="00CA0173" w:rsidRPr="007418EB" w:rsidRDefault="00CA0173" w:rsidP="00DF4A81">
            <w:pPr>
              <w:spacing w:before="120" w:after="120" w:line="240" w:lineRule="auto"/>
              <w:jc w:val="right"/>
              <w:rPr>
                <w:rFonts w:ascii="Times New Roman" w:hAnsi="Times New Roman" w:cs="Times New Roman"/>
                <w:color w:val="000000" w:themeColor="text1"/>
                <w:sz w:val="20"/>
                <w:szCs w:val="24"/>
              </w:rPr>
            </w:pPr>
            <w:r w:rsidRPr="007418EB">
              <w:rPr>
                <w:rFonts w:ascii="Times New Roman" w:hAnsi="Times New Roman" w:cs="Times New Roman"/>
                <w:color w:val="000000" w:themeColor="text1"/>
                <w:sz w:val="20"/>
              </w:rPr>
              <w:t>-4.06</w:t>
            </w:r>
          </w:p>
        </w:tc>
        <w:tc>
          <w:tcPr>
            <w:tcW w:w="0" w:type="auto"/>
            <w:shd w:val="clear" w:color="auto" w:fill="auto"/>
          </w:tcPr>
          <w:p w:rsidR="00CA0173" w:rsidRPr="007418EB" w:rsidRDefault="00CA0173" w:rsidP="00DF4A81">
            <w:pPr>
              <w:spacing w:before="120" w:after="120" w:line="240" w:lineRule="auto"/>
              <w:rPr>
                <w:rFonts w:ascii="Times New Roman" w:hAnsi="Times New Roman" w:cs="Times New Roman"/>
                <w:color w:val="000000" w:themeColor="text1"/>
                <w:sz w:val="20"/>
                <w:szCs w:val="24"/>
              </w:rPr>
            </w:pPr>
          </w:p>
        </w:tc>
        <w:tc>
          <w:tcPr>
            <w:tcW w:w="0" w:type="auto"/>
            <w:shd w:val="clear" w:color="auto" w:fill="auto"/>
          </w:tcPr>
          <w:p w:rsidR="00CA0173" w:rsidRPr="007418EB" w:rsidRDefault="00CA0173" w:rsidP="00DF4A81">
            <w:pPr>
              <w:spacing w:before="120" w:after="120" w:line="240" w:lineRule="auto"/>
              <w:jc w:val="right"/>
              <w:rPr>
                <w:rFonts w:ascii="Times New Roman" w:hAnsi="Times New Roman" w:cs="Times New Roman"/>
                <w:color w:val="000000" w:themeColor="text1"/>
                <w:sz w:val="20"/>
                <w:szCs w:val="24"/>
              </w:rPr>
            </w:pPr>
          </w:p>
        </w:tc>
      </w:tr>
      <w:tr w:rsidR="007418EB" w:rsidRPr="007418EB" w:rsidTr="00DF4A81">
        <w:trPr>
          <w:jc w:val="center"/>
        </w:trPr>
        <w:tc>
          <w:tcPr>
            <w:tcW w:w="0" w:type="auto"/>
            <w:shd w:val="clear" w:color="auto" w:fill="auto"/>
            <w:vAlign w:val="bottom"/>
          </w:tcPr>
          <w:p w:rsidR="00CA0173" w:rsidRPr="007418EB" w:rsidRDefault="00CA0173" w:rsidP="00DF4A81">
            <w:pPr>
              <w:spacing w:before="120" w:after="120" w:line="240" w:lineRule="auto"/>
              <w:rPr>
                <w:rFonts w:ascii="Times New Roman" w:hAnsi="Times New Roman" w:cs="Times New Roman"/>
                <w:color w:val="000000" w:themeColor="text1"/>
                <w:sz w:val="20"/>
                <w:szCs w:val="24"/>
              </w:rPr>
            </w:pPr>
            <w:r w:rsidRPr="007418EB">
              <w:rPr>
                <w:rFonts w:ascii="Times New Roman" w:hAnsi="Times New Roman" w:cs="Times New Roman"/>
                <w:color w:val="000000" w:themeColor="text1"/>
                <w:sz w:val="20"/>
                <w:szCs w:val="24"/>
              </w:rPr>
              <w:t>DTNER</w:t>
            </w:r>
          </w:p>
        </w:tc>
        <w:tc>
          <w:tcPr>
            <w:tcW w:w="0" w:type="auto"/>
            <w:shd w:val="clear" w:color="auto" w:fill="auto"/>
          </w:tcPr>
          <w:p w:rsidR="00CA0173" w:rsidRPr="007418EB" w:rsidRDefault="00CA0173" w:rsidP="00DF4A81">
            <w:pPr>
              <w:spacing w:before="120" w:after="120" w:line="240" w:lineRule="auto"/>
              <w:rPr>
                <w:rFonts w:ascii="Times New Roman" w:hAnsi="Times New Roman" w:cs="Times New Roman"/>
                <w:color w:val="000000" w:themeColor="text1"/>
                <w:sz w:val="20"/>
                <w:szCs w:val="24"/>
              </w:rPr>
            </w:pPr>
            <w:r w:rsidRPr="007418EB">
              <w:rPr>
                <w:rFonts w:ascii="Times New Roman" w:hAnsi="Times New Roman" w:cs="Times New Roman"/>
                <w:color w:val="000000" w:themeColor="text1"/>
                <w:sz w:val="20"/>
              </w:rPr>
              <w:t>0.7856376**</w:t>
            </w:r>
          </w:p>
        </w:tc>
        <w:tc>
          <w:tcPr>
            <w:tcW w:w="0" w:type="auto"/>
            <w:shd w:val="clear" w:color="auto" w:fill="auto"/>
          </w:tcPr>
          <w:p w:rsidR="00CA0173" w:rsidRPr="007418EB" w:rsidRDefault="00CA0173" w:rsidP="00DF4A81">
            <w:pPr>
              <w:spacing w:before="120" w:after="120" w:line="240" w:lineRule="auto"/>
              <w:jc w:val="right"/>
              <w:rPr>
                <w:rFonts w:ascii="Times New Roman" w:hAnsi="Times New Roman" w:cs="Times New Roman"/>
                <w:color w:val="000000" w:themeColor="text1"/>
                <w:sz w:val="20"/>
                <w:szCs w:val="24"/>
              </w:rPr>
            </w:pPr>
            <w:r w:rsidRPr="007418EB">
              <w:rPr>
                <w:rFonts w:ascii="Times New Roman" w:hAnsi="Times New Roman" w:cs="Times New Roman"/>
                <w:color w:val="000000" w:themeColor="text1"/>
                <w:sz w:val="20"/>
              </w:rPr>
              <w:t>2.21</w:t>
            </w:r>
          </w:p>
        </w:tc>
        <w:tc>
          <w:tcPr>
            <w:tcW w:w="0" w:type="auto"/>
            <w:shd w:val="clear" w:color="auto" w:fill="auto"/>
          </w:tcPr>
          <w:p w:rsidR="00CA0173" w:rsidRPr="007418EB" w:rsidRDefault="00CA0173" w:rsidP="00DF4A81">
            <w:pPr>
              <w:spacing w:before="120" w:after="120" w:line="240" w:lineRule="auto"/>
              <w:rPr>
                <w:rFonts w:ascii="Times New Roman" w:hAnsi="Times New Roman" w:cs="Times New Roman"/>
                <w:color w:val="000000" w:themeColor="text1"/>
                <w:sz w:val="20"/>
                <w:szCs w:val="24"/>
              </w:rPr>
            </w:pPr>
          </w:p>
        </w:tc>
        <w:tc>
          <w:tcPr>
            <w:tcW w:w="0" w:type="auto"/>
            <w:shd w:val="clear" w:color="auto" w:fill="auto"/>
          </w:tcPr>
          <w:p w:rsidR="00CA0173" w:rsidRPr="007418EB" w:rsidRDefault="00CA0173" w:rsidP="00DF4A81">
            <w:pPr>
              <w:spacing w:before="120" w:after="120" w:line="240" w:lineRule="auto"/>
              <w:jc w:val="right"/>
              <w:rPr>
                <w:rFonts w:ascii="Times New Roman" w:hAnsi="Times New Roman" w:cs="Times New Roman"/>
                <w:color w:val="000000" w:themeColor="text1"/>
                <w:sz w:val="20"/>
                <w:szCs w:val="24"/>
              </w:rPr>
            </w:pPr>
          </w:p>
        </w:tc>
      </w:tr>
      <w:tr w:rsidR="007418EB" w:rsidRPr="007418EB" w:rsidTr="00DF4A81">
        <w:trPr>
          <w:jc w:val="center"/>
        </w:trPr>
        <w:tc>
          <w:tcPr>
            <w:tcW w:w="0" w:type="auto"/>
            <w:shd w:val="clear" w:color="auto" w:fill="auto"/>
            <w:vAlign w:val="bottom"/>
          </w:tcPr>
          <w:p w:rsidR="00CA0173" w:rsidRPr="007418EB" w:rsidRDefault="00CA0173" w:rsidP="00DF4A81">
            <w:pPr>
              <w:spacing w:before="120" w:after="120" w:line="240" w:lineRule="auto"/>
              <w:rPr>
                <w:rFonts w:ascii="Times New Roman" w:hAnsi="Times New Roman" w:cs="Times New Roman"/>
                <w:color w:val="000000" w:themeColor="text1"/>
                <w:sz w:val="20"/>
                <w:szCs w:val="24"/>
              </w:rPr>
            </w:pPr>
            <w:r w:rsidRPr="007418EB">
              <w:rPr>
                <w:rFonts w:ascii="Times New Roman" w:hAnsi="Times New Roman" w:cs="Times New Roman"/>
                <w:color w:val="000000" w:themeColor="text1"/>
                <w:sz w:val="20"/>
                <w:szCs w:val="24"/>
              </w:rPr>
              <w:t>RER</w:t>
            </w:r>
          </w:p>
        </w:tc>
        <w:tc>
          <w:tcPr>
            <w:tcW w:w="0" w:type="auto"/>
            <w:shd w:val="clear" w:color="auto" w:fill="auto"/>
          </w:tcPr>
          <w:p w:rsidR="00CA0173" w:rsidRPr="007418EB" w:rsidRDefault="00CA0173" w:rsidP="00DF4A81">
            <w:pPr>
              <w:spacing w:before="120" w:after="120" w:line="240" w:lineRule="auto"/>
              <w:rPr>
                <w:rFonts w:ascii="Times New Roman" w:hAnsi="Times New Roman" w:cs="Times New Roman"/>
                <w:color w:val="000000" w:themeColor="text1"/>
                <w:sz w:val="20"/>
                <w:szCs w:val="24"/>
              </w:rPr>
            </w:pPr>
          </w:p>
        </w:tc>
        <w:tc>
          <w:tcPr>
            <w:tcW w:w="0" w:type="auto"/>
            <w:shd w:val="clear" w:color="auto" w:fill="auto"/>
          </w:tcPr>
          <w:p w:rsidR="00CA0173" w:rsidRPr="007418EB" w:rsidRDefault="00CA0173" w:rsidP="00DF4A81">
            <w:pPr>
              <w:spacing w:before="120" w:after="120" w:line="240" w:lineRule="auto"/>
              <w:jc w:val="right"/>
              <w:rPr>
                <w:rFonts w:ascii="Times New Roman" w:hAnsi="Times New Roman" w:cs="Times New Roman"/>
                <w:color w:val="000000" w:themeColor="text1"/>
                <w:sz w:val="20"/>
                <w:szCs w:val="24"/>
              </w:rPr>
            </w:pPr>
          </w:p>
        </w:tc>
        <w:tc>
          <w:tcPr>
            <w:tcW w:w="0" w:type="auto"/>
            <w:shd w:val="clear" w:color="auto" w:fill="auto"/>
          </w:tcPr>
          <w:p w:rsidR="00CA0173" w:rsidRPr="007418EB" w:rsidRDefault="00CA0173" w:rsidP="00DF4A81">
            <w:pPr>
              <w:spacing w:before="120" w:after="120" w:line="240" w:lineRule="auto"/>
              <w:rPr>
                <w:rFonts w:ascii="Times New Roman" w:hAnsi="Times New Roman" w:cs="Times New Roman"/>
                <w:color w:val="000000" w:themeColor="text1"/>
                <w:sz w:val="20"/>
                <w:szCs w:val="24"/>
              </w:rPr>
            </w:pPr>
            <w:r w:rsidRPr="007418EB">
              <w:rPr>
                <w:rFonts w:ascii="Times New Roman" w:hAnsi="Times New Roman" w:cs="Times New Roman"/>
                <w:color w:val="000000" w:themeColor="text1"/>
                <w:sz w:val="20"/>
              </w:rPr>
              <w:t>-0.995358***</w:t>
            </w:r>
          </w:p>
        </w:tc>
        <w:tc>
          <w:tcPr>
            <w:tcW w:w="0" w:type="auto"/>
            <w:shd w:val="clear" w:color="auto" w:fill="auto"/>
          </w:tcPr>
          <w:p w:rsidR="00CA0173" w:rsidRPr="007418EB" w:rsidRDefault="00CA0173" w:rsidP="00DF4A81">
            <w:pPr>
              <w:spacing w:before="120" w:after="120" w:line="240" w:lineRule="auto"/>
              <w:jc w:val="right"/>
              <w:rPr>
                <w:rFonts w:ascii="Times New Roman" w:hAnsi="Times New Roman" w:cs="Times New Roman"/>
                <w:color w:val="000000" w:themeColor="text1"/>
                <w:sz w:val="20"/>
                <w:szCs w:val="24"/>
              </w:rPr>
            </w:pPr>
            <w:r w:rsidRPr="007418EB">
              <w:rPr>
                <w:rFonts w:ascii="Times New Roman" w:hAnsi="Times New Roman" w:cs="Times New Roman"/>
                <w:color w:val="000000" w:themeColor="text1"/>
                <w:sz w:val="20"/>
              </w:rPr>
              <w:t>-4.75</w:t>
            </w:r>
          </w:p>
        </w:tc>
      </w:tr>
      <w:tr w:rsidR="007418EB" w:rsidRPr="007418EB" w:rsidTr="00DF4A81">
        <w:trPr>
          <w:jc w:val="center"/>
        </w:trPr>
        <w:tc>
          <w:tcPr>
            <w:tcW w:w="0" w:type="auto"/>
            <w:shd w:val="clear" w:color="auto" w:fill="auto"/>
            <w:vAlign w:val="bottom"/>
          </w:tcPr>
          <w:p w:rsidR="00CA0173" w:rsidRPr="007418EB" w:rsidRDefault="00CA0173" w:rsidP="00DF4A81">
            <w:pPr>
              <w:spacing w:before="120" w:after="120" w:line="240" w:lineRule="auto"/>
              <w:rPr>
                <w:rFonts w:ascii="Times New Roman" w:hAnsi="Times New Roman" w:cs="Times New Roman"/>
                <w:color w:val="000000" w:themeColor="text1"/>
                <w:sz w:val="20"/>
                <w:szCs w:val="24"/>
              </w:rPr>
            </w:pPr>
            <w:r w:rsidRPr="007418EB">
              <w:rPr>
                <w:rFonts w:ascii="Times New Roman" w:hAnsi="Times New Roman" w:cs="Times New Roman"/>
                <w:color w:val="000000" w:themeColor="text1"/>
                <w:sz w:val="20"/>
                <w:szCs w:val="24"/>
              </w:rPr>
              <w:t>DTRER</w:t>
            </w:r>
          </w:p>
        </w:tc>
        <w:tc>
          <w:tcPr>
            <w:tcW w:w="0" w:type="auto"/>
            <w:shd w:val="clear" w:color="auto" w:fill="auto"/>
            <w:vAlign w:val="bottom"/>
          </w:tcPr>
          <w:p w:rsidR="00CA0173" w:rsidRPr="007418EB" w:rsidRDefault="00CA0173" w:rsidP="00DF4A81">
            <w:pPr>
              <w:spacing w:before="120" w:after="120" w:line="240" w:lineRule="auto"/>
              <w:rPr>
                <w:rFonts w:ascii="Times New Roman" w:hAnsi="Times New Roman" w:cs="Times New Roman"/>
                <w:color w:val="000000" w:themeColor="text1"/>
                <w:sz w:val="20"/>
                <w:szCs w:val="24"/>
              </w:rPr>
            </w:pPr>
          </w:p>
        </w:tc>
        <w:tc>
          <w:tcPr>
            <w:tcW w:w="0" w:type="auto"/>
            <w:shd w:val="clear" w:color="auto" w:fill="auto"/>
            <w:vAlign w:val="bottom"/>
          </w:tcPr>
          <w:p w:rsidR="00CA0173" w:rsidRPr="007418EB" w:rsidRDefault="00CA0173" w:rsidP="00DF4A81">
            <w:pPr>
              <w:spacing w:before="120" w:after="120" w:line="240" w:lineRule="auto"/>
              <w:jc w:val="right"/>
              <w:rPr>
                <w:rFonts w:ascii="Times New Roman" w:hAnsi="Times New Roman" w:cs="Times New Roman"/>
                <w:color w:val="000000" w:themeColor="text1"/>
                <w:sz w:val="20"/>
                <w:szCs w:val="24"/>
              </w:rPr>
            </w:pPr>
          </w:p>
        </w:tc>
        <w:tc>
          <w:tcPr>
            <w:tcW w:w="0" w:type="auto"/>
            <w:shd w:val="clear" w:color="auto" w:fill="auto"/>
          </w:tcPr>
          <w:p w:rsidR="00CA0173" w:rsidRPr="007418EB" w:rsidRDefault="00CA0173" w:rsidP="00DF4A81">
            <w:pPr>
              <w:spacing w:before="120" w:after="120" w:line="240" w:lineRule="auto"/>
              <w:rPr>
                <w:rFonts w:ascii="Times New Roman" w:hAnsi="Times New Roman" w:cs="Times New Roman"/>
                <w:color w:val="000000" w:themeColor="text1"/>
                <w:sz w:val="20"/>
                <w:szCs w:val="24"/>
              </w:rPr>
            </w:pPr>
            <w:r w:rsidRPr="007418EB">
              <w:rPr>
                <w:rFonts w:ascii="Times New Roman" w:hAnsi="Times New Roman" w:cs="Times New Roman"/>
                <w:color w:val="000000" w:themeColor="text1"/>
                <w:sz w:val="20"/>
              </w:rPr>
              <w:t>0.5810578***</w:t>
            </w:r>
          </w:p>
        </w:tc>
        <w:tc>
          <w:tcPr>
            <w:tcW w:w="0" w:type="auto"/>
            <w:shd w:val="clear" w:color="auto" w:fill="auto"/>
          </w:tcPr>
          <w:p w:rsidR="00CA0173" w:rsidRPr="007418EB" w:rsidRDefault="00CA0173" w:rsidP="00DF4A81">
            <w:pPr>
              <w:spacing w:before="120" w:after="120" w:line="240" w:lineRule="auto"/>
              <w:jc w:val="right"/>
              <w:rPr>
                <w:rFonts w:ascii="Times New Roman" w:hAnsi="Times New Roman" w:cs="Times New Roman"/>
                <w:color w:val="000000" w:themeColor="text1"/>
                <w:sz w:val="20"/>
                <w:szCs w:val="24"/>
              </w:rPr>
            </w:pPr>
            <w:r w:rsidRPr="007418EB">
              <w:rPr>
                <w:rFonts w:ascii="Times New Roman" w:hAnsi="Times New Roman" w:cs="Times New Roman"/>
                <w:color w:val="000000" w:themeColor="text1"/>
                <w:sz w:val="20"/>
              </w:rPr>
              <w:t>3.49</w:t>
            </w:r>
          </w:p>
        </w:tc>
      </w:tr>
      <w:tr w:rsidR="007418EB" w:rsidRPr="007418EB" w:rsidTr="00DF4A81">
        <w:trPr>
          <w:trHeight w:val="85"/>
          <w:jc w:val="center"/>
        </w:trPr>
        <w:tc>
          <w:tcPr>
            <w:tcW w:w="0" w:type="auto"/>
            <w:shd w:val="clear" w:color="auto" w:fill="auto"/>
            <w:vAlign w:val="bottom"/>
          </w:tcPr>
          <w:p w:rsidR="00CA0173" w:rsidRPr="007418EB" w:rsidRDefault="00CA0173" w:rsidP="00DF4A81">
            <w:pPr>
              <w:spacing w:before="120" w:after="120" w:line="240" w:lineRule="auto"/>
              <w:rPr>
                <w:rFonts w:ascii="Times New Roman" w:hAnsi="Times New Roman" w:cs="Times New Roman"/>
                <w:color w:val="000000" w:themeColor="text1"/>
                <w:sz w:val="20"/>
                <w:szCs w:val="24"/>
              </w:rPr>
            </w:pPr>
            <w:r w:rsidRPr="007418EB">
              <w:rPr>
                <w:rFonts w:ascii="Times New Roman" w:hAnsi="Times New Roman" w:cs="Times New Roman"/>
                <w:color w:val="000000" w:themeColor="text1"/>
                <w:sz w:val="20"/>
                <w:szCs w:val="24"/>
              </w:rPr>
              <w:lastRenderedPageBreak/>
              <w:t>Constant</w:t>
            </w:r>
          </w:p>
        </w:tc>
        <w:tc>
          <w:tcPr>
            <w:tcW w:w="0" w:type="auto"/>
            <w:shd w:val="clear" w:color="auto" w:fill="auto"/>
          </w:tcPr>
          <w:p w:rsidR="00CA0173" w:rsidRPr="007418EB" w:rsidRDefault="00CA0173" w:rsidP="00DF4A81">
            <w:pPr>
              <w:spacing w:before="120" w:after="120" w:line="240" w:lineRule="auto"/>
              <w:rPr>
                <w:rFonts w:ascii="Times New Roman" w:hAnsi="Times New Roman" w:cs="Times New Roman"/>
                <w:color w:val="000000" w:themeColor="text1"/>
                <w:sz w:val="20"/>
                <w:szCs w:val="24"/>
              </w:rPr>
            </w:pPr>
            <w:r w:rsidRPr="007418EB">
              <w:rPr>
                <w:rFonts w:ascii="Times New Roman" w:hAnsi="Times New Roman" w:cs="Times New Roman"/>
                <w:color w:val="000000" w:themeColor="text1"/>
                <w:sz w:val="20"/>
              </w:rPr>
              <w:t>0.004943*</w:t>
            </w:r>
          </w:p>
        </w:tc>
        <w:tc>
          <w:tcPr>
            <w:tcW w:w="0" w:type="auto"/>
            <w:shd w:val="clear" w:color="auto" w:fill="auto"/>
          </w:tcPr>
          <w:p w:rsidR="00CA0173" w:rsidRPr="007418EB" w:rsidRDefault="00CA0173" w:rsidP="00DF4A81">
            <w:pPr>
              <w:spacing w:before="120" w:after="120" w:line="240" w:lineRule="auto"/>
              <w:jc w:val="right"/>
              <w:rPr>
                <w:rFonts w:ascii="Times New Roman" w:hAnsi="Times New Roman" w:cs="Times New Roman"/>
                <w:color w:val="000000" w:themeColor="text1"/>
                <w:sz w:val="20"/>
                <w:szCs w:val="24"/>
              </w:rPr>
            </w:pPr>
            <w:r w:rsidRPr="007418EB">
              <w:rPr>
                <w:rFonts w:ascii="Times New Roman" w:hAnsi="Times New Roman" w:cs="Times New Roman"/>
                <w:color w:val="000000" w:themeColor="text1"/>
                <w:sz w:val="20"/>
              </w:rPr>
              <w:t>1.65</w:t>
            </w:r>
          </w:p>
        </w:tc>
        <w:tc>
          <w:tcPr>
            <w:tcW w:w="0" w:type="auto"/>
            <w:shd w:val="clear" w:color="auto" w:fill="auto"/>
          </w:tcPr>
          <w:p w:rsidR="00CA0173" w:rsidRPr="007418EB" w:rsidRDefault="00CA0173" w:rsidP="00DF4A81">
            <w:pPr>
              <w:spacing w:before="120" w:after="120" w:line="240" w:lineRule="auto"/>
              <w:rPr>
                <w:rFonts w:ascii="Times New Roman" w:hAnsi="Times New Roman" w:cs="Times New Roman"/>
                <w:color w:val="000000" w:themeColor="text1"/>
                <w:sz w:val="20"/>
                <w:szCs w:val="24"/>
              </w:rPr>
            </w:pPr>
            <w:r w:rsidRPr="007418EB">
              <w:rPr>
                <w:rFonts w:ascii="Times New Roman" w:hAnsi="Times New Roman" w:cs="Times New Roman"/>
                <w:color w:val="000000" w:themeColor="text1"/>
                <w:sz w:val="20"/>
              </w:rPr>
              <w:t>0.0039422</w:t>
            </w:r>
          </w:p>
        </w:tc>
        <w:tc>
          <w:tcPr>
            <w:tcW w:w="0" w:type="auto"/>
            <w:shd w:val="clear" w:color="auto" w:fill="auto"/>
          </w:tcPr>
          <w:p w:rsidR="00CA0173" w:rsidRPr="007418EB" w:rsidRDefault="00CA0173" w:rsidP="00DF4A81">
            <w:pPr>
              <w:spacing w:before="120" w:after="120" w:line="240" w:lineRule="auto"/>
              <w:jc w:val="right"/>
              <w:rPr>
                <w:rFonts w:ascii="Times New Roman" w:hAnsi="Times New Roman" w:cs="Times New Roman"/>
                <w:color w:val="000000" w:themeColor="text1"/>
                <w:sz w:val="20"/>
                <w:szCs w:val="24"/>
              </w:rPr>
            </w:pPr>
            <w:r w:rsidRPr="007418EB">
              <w:rPr>
                <w:rFonts w:ascii="Times New Roman" w:hAnsi="Times New Roman" w:cs="Times New Roman"/>
                <w:color w:val="000000" w:themeColor="text1"/>
                <w:sz w:val="20"/>
              </w:rPr>
              <w:t>1.60</w:t>
            </w:r>
          </w:p>
        </w:tc>
      </w:tr>
    </w:tbl>
    <w:p w:rsidR="00CB1844" w:rsidRPr="007418EB" w:rsidRDefault="0086500A"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color w:val="000000" w:themeColor="text1"/>
          <w:lang w:val="en-US"/>
        </w:rPr>
        <w:t>T</w:t>
      </w:r>
      <w:r w:rsidR="00CB1844" w:rsidRPr="007418EB">
        <w:rPr>
          <w:rFonts w:ascii="Times New Roman" w:eastAsia="Times New Roman" w:hAnsi="Times New Roman" w:cs="Times New Roman"/>
          <w:color w:val="000000" w:themeColor="text1"/>
          <w:lang w:val="en-US"/>
        </w:rPr>
        <w:t>he results</w:t>
      </w:r>
      <w:r w:rsidRPr="007418EB">
        <w:rPr>
          <w:rFonts w:ascii="Times New Roman" w:eastAsia="Times New Roman" w:hAnsi="Times New Roman" w:cs="Times New Roman"/>
          <w:color w:val="000000" w:themeColor="text1"/>
          <w:lang w:val="en-US"/>
        </w:rPr>
        <w:t xml:space="preserve"> of</w:t>
      </w:r>
      <w:r w:rsidR="00CB1844" w:rsidRPr="007418EB">
        <w:rPr>
          <w:rFonts w:ascii="Times New Roman" w:eastAsia="Times New Roman" w:hAnsi="Times New Roman" w:cs="Times New Roman"/>
          <w:color w:val="000000" w:themeColor="text1"/>
          <w:lang w:val="en-US"/>
        </w:rPr>
        <w:t xml:space="preserve"> </w:t>
      </w:r>
      <w:r w:rsidRPr="007418EB">
        <w:rPr>
          <w:rFonts w:ascii="Times New Roman" w:eastAsia="Times New Roman" w:hAnsi="Times New Roman" w:cs="Times New Roman"/>
          <w:color w:val="000000" w:themeColor="text1"/>
          <w:lang w:val="en-US"/>
        </w:rPr>
        <w:t>regression by GLS and GMM shows that</w:t>
      </w:r>
      <w:r w:rsidR="00CB1844" w:rsidRPr="007418EB">
        <w:rPr>
          <w:rFonts w:ascii="Times New Roman" w:eastAsia="Times New Roman" w:hAnsi="Times New Roman" w:cs="Times New Roman"/>
          <w:color w:val="000000" w:themeColor="text1"/>
          <w:lang w:val="en-US"/>
        </w:rPr>
        <w:t xml:space="preserve"> </w:t>
      </w:r>
      <w:r w:rsidRPr="007418EB">
        <w:rPr>
          <w:rFonts w:ascii="Times New Roman" w:eastAsia="Times New Roman" w:hAnsi="Times New Roman" w:cs="Times New Roman"/>
          <w:color w:val="000000" w:themeColor="text1"/>
          <w:lang w:val="en-US"/>
        </w:rPr>
        <w:t>in six</w:t>
      </w:r>
      <w:r w:rsidR="00CB1844" w:rsidRPr="007418EB">
        <w:rPr>
          <w:rFonts w:ascii="Times New Roman" w:eastAsia="Times New Roman" w:hAnsi="Times New Roman" w:cs="Times New Roman"/>
          <w:color w:val="000000" w:themeColor="text1"/>
          <w:lang w:val="en-US"/>
        </w:rPr>
        <w:t xml:space="preserve"> Southeast Asia</w:t>
      </w:r>
      <w:r w:rsidRPr="007418EB">
        <w:rPr>
          <w:rFonts w:ascii="Times New Roman" w:eastAsia="Times New Roman" w:hAnsi="Times New Roman" w:cs="Times New Roman"/>
          <w:color w:val="000000" w:themeColor="text1"/>
          <w:lang w:val="en-US"/>
        </w:rPr>
        <w:t xml:space="preserve"> stock markets</w:t>
      </w:r>
      <w:r w:rsidR="00CB1844" w:rsidRPr="007418EB">
        <w:rPr>
          <w:rFonts w:ascii="Times New Roman" w:eastAsia="Times New Roman" w:hAnsi="Times New Roman" w:cs="Times New Roman"/>
          <w:color w:val="000000" w:themeColor="text1"/>
          <w:lang w:val="en-US"/>
        </w:rPr>
        <w:t xml:space="preserve">, following the financial crisis in 2008, specifically in the period from 2010 to 2017, </w:t>
      </w:r>
      <w:r w:rsidRPr="007418EB">
        <w:rPr>
          <w:rFonts w:ascii="Times New Roman" w:eastAsia="Times New Roman" w:hAnsi="Times New Roman" w:cs="Times New Roman"/>
          <w:color w:val="000000" w:themeColor="text1"/>
          <w:lang w:val="en-US"/>
        </w:rPr>
        <w:t xml:space="preserve">exchange rate exposure always exists and is </w:t>
      </w:r>
      <w:r w:rsidR="007D681D" w:rsidRPr="007418EB">
        <w:rPr>
          <w:rFonts w:ascii="Times New Roman" w:eastAsia="Times New Roman" w:hAnsi="Times New Roman" w:cs="Times New Roman"/>
          <w:color w:val="000000" w:themeColor="text1"/>
          <w:lang w:val="en-US"/>
        </w:rPr>
        <w:t>asymmetric. Exchange rate risk has opposite effects on the stock returns of countries in this region</w:t>
      </w:r>
      <w:r w:rsidR="00CB1844" w:rsidRPr="007418EB">
        <w:rPr>
          <w:rFonts w:ascii="Times New Roman" w:eastAsia="Times New Roman" w:hAnsi="Times New Roman" w:cs="Times New Roman"/>
          <w:color w:val="000000" w:themeColor="text1"/>
          <w:lang w:val="en-US"/>
        </w:rPr>
        <w:t xml:space="preserve">, regardless of the exchange rate policy </w:t>
      </w:r>
      <w:r w:rsidR="007C397F" w:rsidRPr="007418EB">
        <w:rPr>
          <w:rFonts w:ascii="Times New Roman" w:eastAsia="Times New Roman" w:hAnsi="Times New Roman" w:cs="Times New Roman"/>
          <w:color w:val="000000" w:themeColor="text1"/>
          <w:lang w:val="en-US"/>
        </w:rPr>
        <w:t>of</w:t>
      </w:r>
      <w:r w:rsidR="00CB1844" w:rsidRPr="007418EB">
        <w:rPr>
          <w:rFonts w:ascii="Times New Roman" w:eastAsia="Times New Roman" w:hAnsi="Times New Roman" w:cs="Times New Roman"/>
          <w:color w:val="000000" w:themeColor="text1"/>
          <w:lang w:val="en-US"/>
        </w:rPr>
        <w:t xml:space="preserve"> central banks. Besides, </w:t>
      </w:r>
      <w:r w:rsidR="007C397F" w:rsidRPr="007418EB">
        <w:rPr>
          <w:rFonts w:ascii="Times New Roman" w:eastAsia="Times New Roman" w:hAnsi="Times New Roman" w:cs="Times New Roman"/>
          <w:color w:val="000000" w:themeColor="text1"/>
          <w:lang w:val="en-US"/>
        </w:rPr>
        <w:t>the results also show that the world stock market has the same effect on the regional stock market</w:t>
      </w:r>
      <w:r w:rsidR="00CB1844" w:rsidRPr="007418EB">
        <w:rPr>
          <w:rFonts w:ascii="Times New Roman" w:eastAsia="Times New Roman" w:hAnsi="Times New Roman" w:cs="Times New Roman"/>
          <w:color w:val="000000" w:themeColor="text1"/>
          <w:lang w:val="en-US"/>
        </w:rPr>
        <w:t>.</w:t>
      </w:r>
    </w:p>
    <w:p w:rsidR="00CB1844" w:rsidRPr="007418EB" w:rsidRDefault="00CB1844"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b/>
          <w:bCs/>
          <w:color w:val="000000" w:themeColor="text1"/>
          <w:lang w:val="en-US"/>
        </w:rPr>
        <w:t>4.2 </w:t>
      </w:r>
      <w:r w:rsidR="004A70D6" w:rsidRPr="007418EB">
        <w:rPr>
          <w:rFonts w:ascii="Times New Roman" w:eastAsia="Times New Roman" w:hAnsi="Times New Roman" w:cs="Times New Roman"/>
          <w:b/>
          <w:bCs/>
          <w:color w:val="000000" w:themeColor="text1"/>
          <w:lang w:val="en-US"/>
        </w:rPr>
        <w:t>Exchange rate exposure</w:t>
      </w:r>
      <w:r w:rsidRPr="007418EB">
        <w:rPr>
          <w:rFonts w:ascii="Times New Roman" w:eastAsia="Times New Roman" w:hAnsi="Times New Roman" w:cs="Times New Roman"/>
          <w:b/>
          <w:bCs/>
          <w:color w:val="000000" w:themeColor="text1"/>
          <w:lang w:val="en-US"/>
        </w:rPr>
        <w:t xml:space="preserve"> at the firm level</w:t>
      </w:r>
    </w:p>
    <w:p w:rsidR="00CB1844" w:rsidRPr="007418EB" w:rsidRDefault="00CB1844"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b/>
          <w:bCs/>
          <w:color w:val="000000" w:themeColor="text1"/>
          <w:lang w:val="en-US"/>
        </w:rPr>
        <w:t>4.2.1 Regression results for the study period from 2010 to 2017</w:t>
      </w:r>
    </w:p>
    <w:p w:rsidR="00CB1844" w:rsidRPr="007418EB" w:rsidRDefault="004A70D6" w:rsidP="00CB1844">
      <w:pPr>
        <w:spacing w:after="0" w:line="340" w:lineRule="atLeast"/>
        <w:jc w:val="both"/>
        <w:rPr>
          <w:rFonts w:ascii="Times New Roman" w:eastAsia="Times New Roman" w:hAnsi="Times New Roman" w:cs="Times New Roman"/>
          <w:color w:val="000000" w:themeColor="text1"/>
          <w:sz w:val="27"/>
          <w:szCs w:val="27"/>
          <w:lang w:val="en-US"/>
        </w:rPr>
      </w:pPr>
      <w:bookmarkStart w:id="15" w:name="_Toc24281249"/>
      <w:r w:rsidRPr="007418EB">
        <w:rPr>
          <w:rFonts w:ascii="Times New Roman" w:eastAsia="Times New Roman" w:hAnsi="Times New Roman" w:cs="Times New Roman"/>
          <w:b/>
          <w:bCs/>
          <w:color w:val="000000" w:themeColor="text1"/>
          <w:lang w:val="en-US"/>
        </w:rPr>
        <w:t>Table 4.17 Number of companies</w:t>
      </w:r>
      <w:r w:rsidR="002E0664" w:rsidRPr="007418EB">
        <w:rPr>
          <w:rFonts w:ascii="Times New Roman" w:eastAsia="Times New Roman" w:hAnsi="Times New Roman" w:cs="Times New Roman"/>
          <w:b/>
          <w:bCs/>
          <w:color w:val="000000" w:themeColor="text1"/>
          <w:lang w:val="en-US"/>
        </w:rPr>
        <w:t xml:space="preserve"> with exchange rate exposure</w:t>
      </w:r>
      <w:r w:rsidR="00CB1844" w:rsidRPr="007418EB">
        <w:rPr>
          <w:rFonts w:ascii="Times New Roman" w:eastAsia="Times New Roman" w:hAnsi="Times New Roman" w:cs="Times New Roman"/>
          <w:b/>
          <w:bCs/>
          <w:color w:val="000000" w:themeColor="text1"/>
          <w:lang w:val="en-US"/>
        </w:rPr>
        <w:t xml:space="preserve"> by country for the period 2010-2017</w:t>
      </w:r>
      <w:bookmarkEnd w:id="15"/>
    </w:p>
    <w:tbl>
      <w:tblPr>
        <w:tblW w:w="0" w:type="auto"/>
        <w:jc w:val="center"/>
        <w:tblCellMar>
          <w:left w:w="0" w:type="dxa"/>
          <w:right w:w="0" w:type="dxa"/>
        </w:tblCellMar>
        <w:tblLook w:val="04A0" w:firstRow="1" w:lastRow="0" w:firstColumn="1" w:lastColumn="0" w:noHBand="0" w:noVBand="1"/>
      </w:tblPr>
      <w:tblGrid>
        <w:gridCol w:w="1117"/>
        <w:gridCol w:w="1285"/>
        <w:gridCol w:w="1134"/>
        <w:gridCol w:w="1276"/>
        <w:gridCol w:w="1295"/>
      </w:tblGrid>
      <w:tr w:rsidR="007418EB" w:rsidRPr="007418EB" w:rsidTr="00302900">
        <w:trPr>
          <w:trHeight w:val="300"/>
          <w:jc w:val="center"/>
        </w:trPr>
        <w:tc>
          <w:tcPr>
            <w:tcW w:w="0" w:type="auto"/>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before="60" w:after="60" w:line="240" w:lineRule="auto"/>
              <w:jc w:val="center"/>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b/>
                <w:bCs/>
                <w:color w:val="000000" w:themeColor="text1"/>
                <w:sz w:val="20"/>
                <w:szCs w:val="20"/>
                <w:lang w:val="en-US"/>
              </w:rPr>
              <w:t>nation</w:t>
            </w:r>
          </w:p>
        </w:tc>
        <w:tc>
          <w:tcPr>
            <w:tcW w:w="2419"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2E0664">
            <w:pPr>
              <w:spacing w:before="60" w:after="60" w:line="240" w:lineRule="auto"/>
              <w:jc w:val="center"/>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b/>
                <w:bCs/>
                <w:color w:val="000000" w:themeColor="text1"/>
                <w:sz w:val="20"/>
                <w:szCs w:val="20"/>
                <w:lang w:val="en-US"/>
              </w:rPr>
              <w:t xml:space="preserve">Number of companies with exchange </w:t>
            </w:r>
            <w:r w:rsidR="002E0664" w:rsidRPr="007418EB">
              <w:rPr>
                <w:rFonts w:ascii="Times New Roman" w:eastAsia="Times New Roman" w:hAnsi="Times New Roman" w:cs="Times New Roman"/>
                <w:b/>
                <w:bCs/>
                <w:color w:val="000000" w:themeColor="text1"/>
                <w:sz w:val="20"/>
                <w:szCs w:val="20"/>
                <w:lang w:val="en-US"/>
              </w:rPr>
              <w:t>eposure</w:t>
            </w:r>
            <w:r w:rsidRPr="007418EB">
              <w:rPr>
                <w:rFonts w:ascii="Times New Roman" w:eastAsia="Times New Roman" w:hAnsi="Times New Roman" w:cs="Times New Roman"/>
                <w:b/>
                <w:bCs/>
                <w:color w:val="000000" w:themeColor="text1"/>
                <w:sz w:val="20"/>
                <w:szCs w:val="20"/>
                <w:lang w:val="en-US"/>
              </w:rPr>
              <w:t xml:space="preserve"> ( </w:t>
            </w:r>
            <m:oMath>
              <m:sSub>
                <m:sSubPr>
                  <m:ctrlPr>
                    <w:rPr>
                      <w:rFonts w:ascii="Cambria Math" w:hAnsi="Cambria Math" w:cs="Times New Roman"/>
                      <w:i/>
                      <w:color w:val="000000" w:themeColor="text1"/>
                      <w:sz w:val="20"/>
                      <w:szCs w:val="24"/>
                      <w:vertAlign w:val="subscript"/>
                    </w:rPr>
                  </m:ctrlPr>
                </m:sSubPr>
                <m:e>
                  <m:r>
                    <w:rPr>
                      <w:rFonts w:ascii="Cambria Math" w:hAnsi="Cambria Math" w:cs="Times New Roman"/>
                      <w:color w:val="000000" w:themeColor="text1"/>
                      <w:sz w:val="20"/>
                      <w:szCs w:val="24"/>
                      <w:vertAlign w:val="subscript"/>
                    </w:rPr>
                    <m:t>β</m:t>
                  </m:r>
                </m:e>
                <m:sub>
                  <m:r>
                    <w:rPr>
                      <w:rFonts w:ascii="Cambria Math" w:hAnsi="Cambria Math" w:cs="Times New Roman"/>
                      <w:color w:val="000000" w:themeColor="text1"/>
                      <w:sz w:val="20"/>
                      <w:szCs w:val="24"/>
                      <w:vertAlign w:val="subscript"/>
                    </w:rPr>
                    <m:t>2</m:t>
                  </m:r>
                </m:sub>
              </m:sSub>
            </m:oMath>
            <w:r w:rsidR="004A70D6" w:rsidRPr="007418EB">
              <w:rPr>
                <w:rFonts w:ascii="Times New Roman" w:eastAsiaTheme="minorEastAsia" w:hAnsi="Times New Roman" w:cs="Times New Roman"/>
                <w:color w:val="000000" w:themeColor="text1"/>
                <w:sz w:val="20"/>
                <w:szCs w:val="24"/>
                <w:vertAlign w:val="subscript"/>
              </w:rPr>
              <w:t xml:space="preserve"> </w:t>
            </w:r>
            <w:r w:rsidR="004A70D6" w:rsidRPr="007418EB">
              <w:rPr>
                <w:rFonts w:ascii="Times New Roman" w:eastAsia="Times New Roman" w:hAnsi="Times New Roman" w:cs="Times New Roman"/>
                <w:color w:val="000000" w:themeColor="text1"/>
                <w:sz w:val="20"/>
                <w:szCs w:val="20"/>
                <w:lang w:val="en-US"/>
              </w:rPr>
              <w:t>and/</w:t>
            </w:r>
            <w:r w:rsidRPr="007418EB">
              <w:rPr>
                <w:rFonts w:ascii="Times New Roman" w:eastAsia="Times New Roman" w:hAnsi="Times New Roman" w:cs="Times New Roman"/>
                <w:color w:val="000000" w:themeColor="text1"/>
                <w:sz w:val="20"/>
                <w:szCs w:val="20"/>
                <w:lang w:val="en-US"/>
              </w:rPr>
              <w:t>or</w:t>
            </w:r>
            <w:r w:rsidR="004A70D6" w:rsidRPr="007418EB">
              <w:rPr>
                <w:rFonts w:ascii="Times New Roman" w:eastAsia="Times New Roman" w:hAnsi="Times New Roman" w:cs="Times New Roman"/>
                <w:color w:val="000000" w:themeColor="text1"/>
                <w:sz w:val="20"/>
                <w:szCs w:val="20"/>
                <w:lang w:val="en-US"/>
              </w:rPr>
              <w:t xml:space="preserve"> </w:t>
            </w:r>
            <m:oMath>
              <m:sSub>
                <m:sSubPr>
                  <m:ctrlPr>
                    <w:rPr>
                      <w:rFonts w:ascii="Cambria Math" w:hAnsi="Cambria Math" w:cs="Times New Roman"/>
                      <w:i/>
                      <w:color w:val="000000" w:themeColor="text1"/>
                      <w:sz w:val="20"/>
                      <w:szCs w:val="24"/>
                      <w:vertAlign w:val="subscript"/>
                    </w:rPr>
                  </m:ctrlPr>
                </m:sSubPr>
                <m:e>
                  <m:r>
                    <w:rPr>
                      <w:rFonts w:ascii="Cambria Math" w:hAnsi="Cambria Math" w:cs="Times New Roman"/>
                      <w:color w:val="000000" w:themeColor="text1"/>
                      <w:sz w:val="20"/>
                      <w:szCs w:val="24"/>
                      <w:vertAlign w:val="subscript"/>
                    </w:rPr>
                    <m:t>β</m:t>
                  </m:r>
                </m:e>
                <m:sub>
                  <m:r>
                    <w:rPr>
                      <w:rFonts w:ascii="Cambria Math" w:hAnsi="Cambria Math" w:cs="Times New Roman"/>
                      <w:color w:val="000000" w:themeColor="text1"/>
                      <w:sz w:val="20"/>
                      <w:szCs w:val="24"/>
                      <w:vertAlign w:val="subscript"/>
                    </w:rPr>
                    <m:t>3</m:t>
                  </m:r>
                </m:sub>
              </m:sSub>
            </m:oMath>
            <w:r w:rsidR="004A70D6" w:rsidRPr="007418EB">
              <w:rPr>
                <w:rFonts w:ascii="Times New Roman" w:eastAsia="Times New Roman" w:hAnsi="Times New Roman" w:cs="Times New Roman"/>
                <w:color w:val="000000" w:themeColor="text1"/>
                <w:sz w:val="20"/>
                <w:szCs w:val="20"/>
                <w:lang w:val="en-US"/>
              </w:rPr>
              <w:t> </w:t>
            </w:r>
            <w:r w:rsidR="004A70D6" w:rsidRPr="007418EB">
              <w:rPr>
                <w:rFonts w:ascii="Times New Roman" w:eastAsiaTheme="minorEastAsia" w:hAnsi="Times New Roman" w:cs="Times New Roman"/>
                <w:color w:val="000000" w:themeColor="text1"/>
                <w:sz w:val="20"/>
                <w:szCs w:val="24"/>
              </w:rPr>
              <w:t xml:space="preserve"> </w:t>
            </w:r>
            <w:r w:rsidR="004A70D6" w:rsidRPr="007418EB">
              <w:rPr>
                <w:rFonts w:ascii="Times New Roman" w:eastAsia="Times New Roman" w:hAnsi="Times New Roman" w:cs="Times New Roman"/>
                <w:color w:val="000000" w:themeColor="text1"/>
                <w:sz w:val="20"/>
                <w:szCs w:val="20"/>
                <w:lang w:val="en-US"/>
              </w:rPr>
              <w:t>statisticall significant)</w:t>
            </w:r>
          </w:p>
        </w:tc>
        <w:tc>
          <w:tcPr>
            <w:tcW w:w="257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60" w:after="60" w:line="240" w:lineRule="auto"/>
              <w:jc w:val="center"/>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b/>
                <w:bCs/>
                <w:color w:val="000000" w:themeColor="text1"/>
                <w:sz w:val="20"/>
                <w:szCs w:val="20"/>
                <w:lang w:val="en-US"/>
              </w:rPr>
              <w:t xml:space="preserve">Number of companies with asymmetric </w:t>
            </w:r>
            <w:r w:rsidR="003A3C9A" w:rsidRPr="007418EB">
              <w:rPr>
                <w:rFonts w:ascii="Times New Roman" w:eastAsia="Times New Roman" w:hAnsi="Times New Roman" w:cs="Times New Roman"/>
                <w:b/>
                <w:bCs/>
                <w:color w:val="000000" w:themeColor="text1"/>
                <w:sz w:val="20"/>
                <w:szCs w:val="20"/>
                <w:lang w:val="en-US"/>
              </w:rPr>
              <w:t>exchange rate exposure</w:t>
            </w:r>
            <w:r w:rsidRPr="007418EB">
              <w:rPr>
                <w:rFonts w:ascii="Times New Roman" w:eastAsia="Times New Roman" w:hAnsi="Times New Roman" w:cs="Times New Roman"/>
                <w:b/>
                <w:bCs/>
                <w:color w:val="000000" w:themeColor="text1"/>
                <w:sz w:val="20"/>
                <w:szCs w:val="20"/>
                <w:lang w:val="en-US"/>
              </w:rPr>
              <w:t> </w:t>
            </w:r>
            <w:r w:rsidRPr="007418EB">
              <w:rPr>
                <w:rFonts w:ascii="Times New Roman" w:eastAsia="Times New Roman" w:hAnsi="Times New Roman" w:cs="Times New Roman"/>
                <w:color w:val="000000" w:themeColor="text1"/>
                <w:sz w:val="20"/>
                <w:szCs w:val="20"/>
                <w:lang w:val="en-US"/>
              </w:rPr>
              <w:t>( </w:t>
            </w:r>
            <m:oMath>
              <m:sSub>
                <m:sSubPr>
                  <m:ctrlPr>
                    <w:rPr>
                      <w:rFonts w:ascii="Cambria Math" w:hAnsi="Cambria Math" w:cs="Times New Roman"/>
                      <w:i/>
                      <w:color w:val="000000" w:themeColor="text1"/>
                      <w:sz w:val="20"/>
                      <w:szCs w:val="24"/>
                      <w:vertAlign w:val="subscript"/>
                    </w:rPr>
                  </m:ctrlPr>
                </m:sSubPr>
                <m:e>
                  <m:r>
                    <w:rPr>
                      <w:rFonts w:ascii="Cambria Math" w:hAnsi="Cambria Math" w:cs="Times New Roman"/>
                      <w:color w:val="000000" w:themeColor="text1"/>
                      <w:sz w:val="20"/>
                      <w:szCs w:val="24"/>
                      <w:vertAlign w:val="subscript"/>
                    </w:rPr>
                    <m:t>β</m:t>
                  </m:r>
                </m:e>
                <m:sub>
                  <m:r>
                    <w:rPr>
                      <w:rFonts w:ascii="Cambria Math" w:hAnsi="Cambria Math" w:cs="Times New Roman"/>
                      <w:color w:val="000000" w:themeColor="text1"/>
                      <w:sz w:val="20"/>
                      <w:szCs w:val="24"/>
                      <w:vertAlign w:val="subscript"/>
                    </w:rPr>
                    <m:t>3</m:t>
                  </m:r>
                </m:sub>
              </m:sSub>
              <m:r>
                <w:rPr>
                  <w:rFonts w:ascii="Cambria Math" w:hAnsi="Cambria Math" w:cs="Times New Roman"/>
                  <w:color w:val="000000" w:themeColor="text1"/>
                  <w:sz w:val="20"/>
                  <w:szCs w:val="24"/>
                  <w:vertAlign w:val="subscript"/>
                </w:rPr>
                <m:t xml:space="preserve"> </m:t>
              </m:r>
            </m:oMath>
            <w:r w:rsidRPr="007418EB">
              <w:rPr>
                <w:rFonts w:ascii="Times New Roman" w:eastAsia="Times New Roman" w:hAnsi="Times New Roman" w:cs="Times New Roman"/>
                <w:color w:val="000000" w:themeColor="text1"/>
                <w:sz w:val="20"/>
                <w:szCs w:val="20"/>
                <w:lang w:val="en-US"/>
              </w:rPr>
              <w:t>statistical significance)</w:t>
            </w:r>
          </w:p>
        </w:tc>
      </w:tr>
      <w:tr w:rsidR="007418EB" w:rsidRPr="007418EB" w:rsidTr="0055440C">
        <w:trPr>
          <w:trHeight w:val="30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p>
        </w:tc>
        <w:tc>
          <w:tcPr>
            <w:tcW w:w="12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60" w:after="60" w:line="240" w:lineRule="auto"/>
              <w:jc w:val="center"/>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b/>
                <w:bCs/>
                <w:color w:val="000000" w:themeColor="text1"/>
                <w:sz w:val="20"/>
                <w:szCs w:val="20"/>
                <w:lang w:val="en-US"/>
              </w:rPr>
              <w:t>Sig</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60" w:after="60" w:line="240" w:lineRule="auto"/>
              <w:jc w:val="center"/>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b/>
                <w:bCs/>
                <w:color w:val="000000" w:themeColor="text1"/>
                <w:sz w:val="20"/>
                <w:szCs w:val="20"/>
                <w:lang w:val="en-US"/>
              </w:rPr>
              <w:t>(%)</w:t>
            </w:r>
          </w:p>
        </w:tc>
        <w:tc>
          <w:tcPr>
            <w:tcW w:w="12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CB1844" w:rsidRPr="007418EB" w:rsidRDefault="00CB1844" w:rsidP="00CB1844">
            <w:pPr>
              <w:spacing w:before="60" w:after="60" w:line="240" w:lineRule="auto"/>
              <w:jc w:val="center"/>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b/>
                <w:bCs/>
                <w:color w:val="000000" w:themeColor="text1"/>
                <w:sz w:val="20"/>
                <w:szCs w:val="20"/>
                <w:lang w:val="en-US"/>
              </w:rPr>
              <w:t>Sig</w:t>
            </w:r>
          </w:p>
        </w:tc>
        <w:tc>
          <w:tcPr>
            <w:tcW w:w="12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60" w:after="60" w:line="240" w:lineRule="auto"/>
              <w:jc w:val="center"/>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b/>
                <w:bCs/>
                <w:color w:val="000000" w:themeColor="text1"/>
                <w:sz w:val="20"/>
                <w:szCs w:val="20"/>
                <w:lang w:val="en-US"/>
              </w:rPr>
              <w:t>(%)</w:t>
            </w:r>
          </w:p>
        </w:tc>
      </w:tr>
      <w:tr w:rsidR="007418EB" w:rsidRPr="007418EB" w:rsidTr="0055440C">
        <w:trPr>
          <w:trHeight w:val="300"/>
          <w:jc w:val="center"/>
        </w:trPr>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120" w:after="120" w:line="240" w:lineRule="auto"/>
              <w:jc w:val="both"/>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20"/>
                <w:szCs w:val="20"/>
                <w:lang w:val="en-US"/>
              </w:rPr>
              <w:t>Indonesia</w:t>
            </w:r>
          </w:p>
        </w:tc>
        <w:tc>
          <w:tcPr>
            <w:tcW w:w="12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before="60" w:after="60" w:line="240" w:lineRule="auto"/>
              <w:jc w:val="right"/>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20"/>
                <w:szCs w:val="20"/>
                <w:lang w:val="en-US"/>
              </w:rPr>
              <w:t>140</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120" w:after="120" w:line="240" w:lineRule="auto"/>
              <w:jc w:val="right"/>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20"/>
                <w:szCs w:val="20"/>
                <w:lang w:val="en-US"/>
              </w:rPr>
              <w:t>43</w:t>
            </w:r>
          </w:p>
        </w:tc>
        <w:tc>
          <w:tcPr>
            <w:tcW w:w="12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before="60" w:after="60" w:line="240" w:lineRule="auto"/>
              <w:jc w:val="right"/>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20"/>
                <w:szCs w:val="20"/>
                <w:lang w:val="en-US"/>
              </w:rPr>
              <w:t>100</w:t>
            </w:r>
          </w:p>
        </w:tc>
        <w:tc>
          <w:tcPr>
            <w:tcW w:w="12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55440C" w:rsidP="00CB1844">
            <w:pPr>
              <w:spacing w:before="60" w:after="60" w:line="240" w:lineRule="auto"/>
              <w:jc w:val="right"/>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20"/>
                <w:szCs w:val="20"/>
                <w:lang w:val="en-US"/>
              </w:rPr>
              <w:t>31</w:t>
            </w:r>
          </w:p>
        </w:tc>
      </w:tr>
      <w:tr w:rsidR="007418EB" w:rsidRPr="007418EB" w:rsidTr="0055440C">
        <w:trPr>
          <w:trHeight w:val="300"/>
          <w:jc w:val="center"/>
        </w:trPr>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120" w:after="120" w:line="240" w:lineRule="auto"/>
              <w:jc w:val="both"/>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20"/>
                <w:szCs w:val="20"/>
                <w:lang w:val="en-US"/>
              </w:rPr>
              <w:t>Malaysia</w:t>
            </w:r>
          </w:p>
        </w:tc>
        <w:tc>
          <w:tcPr>
            <w:tcW w:w="12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before="60" w:after="60" w:line="240" w:lineRule="auto"/>
              <w:jc w:val="right"/>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20"/>
                <w:szCs w:val="20"/>
                <w:lang w:val="en-US"/>
              </w:rPr>
              <w:t>214</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120" w:after="120" w:line="240" w:lineRule="auto"/>
              <w:jc w:val="right"/>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20"/>
                <w:szCs w:val="20"/>
                <w:lang w:val="en-US"/>
              </w:rPr>
              <w:t>30</w:t>
            </w:r>
          </w:p>
        </w:tc>
        <w:tc>
          <w:tcPr>
            <w:tcW w:w="12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before="60" w:after="60" w:line="240" w:lineRule="auto"/>
              <w:jc w:val="right"/>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20"/>
                <w:szCs w:val="20"/>
                <w:lang w:val="en-US"/>
              </w:rPr>
              <w:t>110</w:t>
            </w:r>
          </w:p>
        </w:tc>
        <w:tc>
          <w:tcPr>
            <w:tcW w:w="12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before="60" w:after="60" w:line="240" w:lineRule="auto"/>
              <w:jc w:val="right"/>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20"/>
                <w:szCs w:val="20"/>
                <w:lang w:val="en-US"/>
              </w:rPr>
              <w:t>16</w:t>
            </w:r>
          </w:p>
        </w:tc>
      </w:tr>
      <w:tr w:rsidR="007418EB" w:rsidRPr="007418EB" w:rsidTr="0055440C">
        <w:trPr>
          <w:trHeight w:val="300"/>
          <w:jc w:val="center"/>
        </w:trPr>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120" w:after="120" w:line="240" w:lineRule="auto"/>
              <w:jc w:val="both"/>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20"/>
                <w:szCs w:val="20"/>
                <w:lang w:val="en-US"/>
              </w:rPr>
              <w:t>Philippines</w:t>
            </w:r>
          </w:p>
        </w:tc>
        <w:tc>
          <w:tcPr>
            <w:tcW w:w="12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before="60" w:after="60" w:line="240" w:lineRule="auto"/>
              <w:jc w:val="right"/>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20"/>
                <w:szCs w:val="20"/>
                <w:lang w:val="en-US"/>
              </w:rPr>
              <w:t>57</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120" w:after="120" w:line="240" w:lineRule="auto"/>
              <w:jc w:val="right"/>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20"/>
                <w:szCs w:val="20"/>
                <w:lang w:val="en-US"/>
              </w:rPr>
              <w:t>35</w:t>
            </w:r>
          </w:p>
        </w:tc>
        <w:tc>
          <w:tcPr>
            <w:tcW w:w="12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before="60" w:after="60" w:line="240" w:lineRule="auto"/>
              <w:jc w:val="right"/>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20"/>
                <w:szCs w:val="20"/>
                <w:lang w:val="en-US"/>
              </w:rPr>
              <w:t>42</w:t>
            </w:r>
          </w:p>
        </w:tc>
        <w:tc>
          <w:tcPr>
            <w:tcW w:w="12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before="60" w:after="60" w:line="240" w:lineRule="auto"/>
              <w:jc w:val="right"/>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20"/>
                <w:szCs w:val="20"/>
                <w:lang w:val="en-US"/>
              </w:rPr>
              <w:t>26</w:t>
            </w:r>
          </w:p>
        </w:tc>
      </w:tr>
      <w:tr w:rsidR="007418EB" w:rsidRPr="007418EB" w:rsidTr="0055440C">
        <w:trPr>
          <w:trHeight w:val="300"/>
          <w:jc w:val="center"/>
        </w:trPr>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120" w:after="120" w:line="240" w:lineRule="auto"/>
              <w:jc w:val="both"/>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20"/>
                <w:szCs w:val="20"/>
                <w:lang w:val="en-US"/>
              </w:rPr>
              <w:t>Singapore</w:t>
            </w:r>
          </w:p>
        </w:tc>
        <w:tc>
          <w:tcPr>
            <w:tcW w:w="12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before="60" w:after="60" w:line="240" w:lineRule="auto"/>
              <w:jc w:val="right"/>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20"/>
                <w:szCs w:val="20"/>
                <w:lang w:val="en-US"/>
              </w:rPr>
              <w:t>100</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120" w:after="120" w:line="240" w:lineRule="auto"/>
              <w:jc w:val="right"/>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20"/>
                <w:szCs w:val="20"/>
                <w:lang w:val="en-US"/>
              </w:rPr>
              <w:t>35</w:t>
            </w:r>
          </w:p>
        </w:tc>
        <w:tc>
          <w:tcPr>
            <w:tcW w:w="12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before="60" w:after="60" w:line="240" w:lineRule="auto"/>
              <w:jc w:val="right"/>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20"/>
                <w:szCs w:val="20"/>
                <w:lang w:val="en-US"/>
              </w:rPr>
              <w:t>59</w:t>
            </w:r>
          </w:p>
        </w:tc>
        <w:tc>
          <w:tcPr>
            <w:tcW w:w="12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before="60" w:after="60" w:line="240" w:lineRule="auto"/>
              <w:jc w:val="right"/>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20"/>
                <w:szCs w:val="20"/>
                <w:lang w:val="en-US"/>
              </w:rPr>
              <w:t>21</w:t>
            </w:r>
          </w:p>
        </w:tc>
      </w:tr>
      <w:tr w:rsidR="007418EB" w:rsidRPr="007418EB" w:rsidTr="0055440C">
        <w:trPr>
          <w:trHeight w:val="300"/>
          <w:jc w:val="center"/>
        </w:trPr>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120" w:after="120" w:line="240" w:lineRule="auto"/>
              <w:jc w:val="both"/>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20"/>
                <w:szCs w:val="20"/>
                <w:lang w:val="en-US"/>
              </w:rPr>
              <w:t>Thailand</w:t>
            </w:r>
          </w:p>
        </w:tc>
        <w:tc>
          <w:tcPr>
            <w:tcW w:w="12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before="60" w:after="60" w:line="240" w:lineRule="auto"/>
              <w:jc w:val="right"/>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20"/>
                <w:szCs w:val="20"/>
                <w:lang w:val="en-US"/>
              </w:rPr>
              <w:t>193</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120" w:after="120" w:line="240" w:lineRule="auto"/>
              <w:jc w:val="right"/>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20"/>
                <w:szCs w:val="20"/>
                <w:lang w:val="en-US"/>
              </w:rPr>
              <w:t>42</w:t>
            </w:r>
          </w:p>
        </w:tc>
        <w:tc>
          <w:tcPr>
            <w:tcW w:w="12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before="60" w:after="60" w:line="240" w:lineRule="auto"/>
              <w:jc w:val="right"/>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20"/>
                <w:szCs w:val="20"/>
                <w:lang w:val="en-US"/>
              </w:rPr>
              <w:t>161</w:t>
            </w:r>
          </w:p>
        </w:tc>
        <w:tc>
          <w:tcPr>
            <w:tcW w:w="12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before="60" w:after="60" w:line="240" w:lineRule="auto"/>
              <w:jc w:val="right"/>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20"/>
                <w:szCs w:val="20"/>
                <w:lang w:val="en-US"/>
              </w:rPr>
              <w:t>35</w:t>
            </w:r>
          </w:p>
        </w:tc>
      </w:tr>
      <w:tr w:rsidR="007418EB" w:rsidRPr="007418EB" w:rsidTr="0055440C">
        <w:trPr>
          <w:trHeight w:val="300"/>
          <w:jc w:val="center"/>
        </w:trPr>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CB1844" w:rsidP="00CB1844">
            <w:pPr>
              <w:spacing w:before="120" w:after="120" w:line="240" w:lineRule="auto"/>
              <w:jc w:val="both"/>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20"/>
                <w:szCs w:val="20"/>
                <w:lang w:val="en-US"/>
              </w:rPr>
              <w:t>Vietnam</w:t>
            </w:r>
          </w:p>
        </w:tc>
        <w:tc>
          <w:tcPr>
            <w:tcW w:w="12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before="60" w:after="60" w:line="240" w:lineRule="auto"/>
              <w:jc w:val="right"/>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20"/>
                <w:szCs w:val="20"/>
                <w:lang w:val="en-US"/>
              </w:rPr>
              <w:t>27</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B1844" w:rsidRPr="007418EB" w:rsidRDefault="00302900" w:rsidP="00CB1844">
            <w:pPr>
              <w:spacing w:before="120" w:after="120" w:line="240" w:lineRule="auto"/>
              <w:jc w:val="right"/>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20"/>
                <w:szCs w:val="20"/>
                <w:lang w:val="en-US"/>
              </w:rPr>
              <w:t>12</w:t>
            </w:r>
          </w:p>
        </w:tc>
        <w:tc>
          <w:tcPr>
            <w:tcW w:w="12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before="60" w:after="60" w:line="240" w:lineRule="auto"/>
              <w:jc w:val="right"/>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20"/>
                <w:szCs w:val="20"/>
                <w:lang w:val="en-US"/>
              </w:rPr>
              <w:t>11</w:t>
            </w:r>
          </w:p>
        </w:tc>
        <w:tc>
          <w:tcPr>
            <w:tcW w:w="12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before="60" w:after="60" w:line="240" w:lineRule="auto"/>
              <w:jc w:val="right"/>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20"/>
                <w:szCs w:val="20"/>
                <w:lang w:val="en-US"/>
              </w:rPr>
              <w:t>5</w:t>
            </w:r>
          </w:p>
        </w:tc>
      </w:tr>
    </w:tbl>
    <w:p w:rsidR="00CB1844" w:rsidRPr="007418EB" w:rsidRDefault="00CB1844" w:rsidP="00CB1844">
      <w:pPr>
        <w:spacing w:after="0" w:line="300" w:lineRule="atLeast"/>
        <w:jc w:val="both"/>
        <w:rPr>
          <w:rFonts w:ascii="Times New Roman" w:eastAsia="Times New Roman" w:hAnsi="Times New Roman" w:cs="Times New Roman"/>
          <w:color w:val="000000" w:themeColor="text1"/>
          <w:sz w:val="20"/>
          <w:szCs w:val="20"/>
          <w:lang w:val="en-US"/>
        </w:rPr>
      </w:pPr>
      <w:r w:rsidRPr="007418EB">
        <w:rPr>
          <w:rFonts w:ascii="Times New Roman" w:eastAsia="Times New Roman" w:hAnsi="Times New Roman" w:cs="Times New Roman"/>
          <w:b/>
          <w:bCs/>
          <w:color w:val="000000" w:themeColor="text1"/>
          <w:sz w:val="20"/>
          <w:szCs w:val="20"/>
          <w:lang w:val="en-US"/>
        </w:rPr>
        <w:lastRenderedPageBreak/>
        <w:t>              </w:t>
      </w:r>
      <w:r w:rsidRPr="007418EB">
        <w:rPr>
          <w:rFonts w:ascii="Times New Roman" w:eastAsia="Times New Roman" w:hAnsi="Times New Roman" w:cs="Times New Roman"/>
          <w:i/>
          <w:iCs/>
          <w:color w:val="000000" w:themeColor="text1"/>
          <w:sz w:val="20"/>
          <w:szCs w:val="20"/>
          <w:lang w:val="en-US"/>
        </w:rPr>
        <w:t>Note: The number in the table is the number of companies with a positive (+) or negative (-) regression coefficient at the 10% significance level and a percentage of the total number of companies in the sample.</w:t>
      </w:r>
    </w:p>
    <w:p w:rsidR="00CB1844" w:rsidRPr="007418EB" w:rsidRDefault="001A439B" w:rsidP="00CB1844">
      <w:pPr>
        <w:spacing w:after="0" w:line="340" w:lineRule="atLeast"/>
        <w:ind w:firstLine="720"/>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color w:val="000000" w:themeColor="text1"/>
          <w:lang w:val="en-US"/>
        </w:rPr>
        <w:t>R</w:t>
      </w:r>
      <w:r w:rsidR="00CB1844" w:rsidRPr="007418EB">
        <w:rPr>
          <w:rFonts w:ascii="Times New Roman" w:eastAsia="Times New Roman" w:hAnsi="Times New Roman" w:cs="Times New Roman"/>
          <w:color w:val="000000" w:themeColor="text1"/>
          <w:lang w:val="en-US"/>
        </w:rPr>
        <w:t xml:space="preserve">egression results with a sample of 2,166 companies in the period of 2010 - 2017 showed the presence of </w:t>
      </w:r>
      <w:r w:rsidR="003A3C9A" w:rsidRPr="007418EB">
        <w:rPr>
          <w:rFonts w:ascii="Times New Roman" w:eastAsia="Times New Roman" w:hAnsi="Times New Roman" w:cs="Times New Roman"/>
          <w:color w:val="000000" w:themeColor="text1"/>
          <w:lang w:val="en-US"/>
        </w:rPr>
        <w:t>exchange rate exposure</w:t>
      </w:r>
      <w:r w:rsidR="00666E25" w:rsidRPr="007418EB">
        <w:rPr>
          <w:rFonts w:ascii="Times New Roman" w:eastAsia="Times New Roman" w:hAnsi="Times New Roman" w:cs="Times New Roman"/>
          <w:color w:val="000000" w:themeColor="text1"/>
          <w:lang w:val="en-US"/>
        </w:rPr>
        <w:t xml:space="preserve"> (</w:t>
      </w:r>
      <m:oMath>
        <m:sSub>
          <m:sSubPr>
            <m:ctrlPr>
              <w:rPr>
                <w:rFonts w:ascii="Cambria Math" w:hAnsi="Cambria Math" w:cs="Times New Roman"/>
                <w:color w:val="000000" w:themeColor="text1"/>
              </w:rPr>
            </m:ctrlPr>
          </m:sSubPr>
          <m:e>
            <m:r>
              <w:rPr>
                <w:rFonts w:ascii="Cambria Math" w:hAnsi="Cambria Math" w:cs="Times New Roman"/>
                <w:color w:val="000000" w:themeColor="text1"/>
              </w:rPr>
              <m:t>β</m:t>
            </m:r>
          </m:e>
          <m:sub>
            <m:r>
              <m:rPr>
                <m:sty m:val="p"/>
              </m:rPr>
              <w:rPr>
                <w:rFonts w:ascii="Cambria Math" w:hAnsi="Cambria Math" w:cs="Times New Roman"/>
                <w:color w:val="000000" w:themeColor="text1"/>
              </w:rPr>
              <m:t>2</m:t>
            </m:r>
          </m:sub>
        </m:sSub>
      </m:oMath>
      <w:r w:rsidR="0055440C" w:rsidRPr="007418EB">
        <w:rPr>
          <w:rFonts w:ascii="Times New Roman" w:hAnsi="Times New Roman" w:cs="Times New Roman"/>
          <w:color w:val="000000" w:themeColor="text1"/>
        </w:rPr>
        <w:t xml:space="preserve"> and/or </w:t>
      </w:r>
      <m:oMath>
        <m:sSub>
          <m:sSubPr>
            <m:ctrlPr>
              <w:rPr>
                <w:rFonts w:ascii="Cambria Math" w:hAnsi="Cambria Math" w:cs="Times New Roman"/>
                <w:color w:val="000000" w:themeColor="text1"/>
              </w:rPr>
            </m:ctrlPr>
          </m:sSubPr>
          <m:e>
            <m:r>
              <w:rPr>
                <w:rFonts w:ascii="Cambria Math" w:hAnsi="Cambria Math" w:cs="Times New Roman"/>
                <w:color w:val="000000" w:themeColor="text1"/>
              </w:rPr>
              <m:t>β</m:t>
            </m:r>
          </m:e>
          <m:sub>
            <m:r>
              <m:rPr>
                <m:sty m:val="p"/>
              </m:rPr>
              <w:rPr>
                <w:rFonts w:ascii="Cambria Math" w:hAnsi="Cambria Math" w:cs="Times New Roman"/>
                <w:color w:val="000000" w:themeColor="text1"/>
              </w:rPr>
              <m:t>3</m:t>
            </m:r>
          </m:sub>
        </m:sSub>
      </m:oMath>
      <w:r w:rsidR="00CB1844" w:rsidRPr="007418EB">
        <w:rPr>
          <w:rFonts w:ascii="Times New Roman" w:eastAsia="Times New Roman" w:hAnsi="Times New Roman" w:cs="Times New Roman"/>
          <w:color w:val="000000" w:themeColor="text1"/>
          <w:lang w:val="en-US"/>
        </w:rPr>
        <w:t> statistica</w:t>
      </w:r>
      <w:r w:rsidR="00666E25" w:rsidRPr="007418EB">
        <w:rPr>
          <w:rFonts w:ascii="Times New Roman" w:eastAsia="Times New Roman" w:hAnsi="Times New Roman" w:cs="Times New Roman"/>
          <w:color w:val="000000" w:themeColor="text1"/>
          <w:lang w:val="en-US"/>
        </w:rPr>
        <w:t>lly significant at 10%) in the l</w:t>
      </w:r>
      <w:r w:rsidR="00CB1844" w:rsidRPr="007418EB">
        <w:rPr>
          <w:rFonts w:ascii="Times New Roman" w:eastAsia="Times New Roman" w:hAnsi="Times New Roman" w:cs="Times New Roman"/>
          <w:color w:val="000000" w:themeColor="text1"/>
          <w:lang w:val="en-US"/>
        </w:rPr>
        <w:t xml:space="preserve">isted companies in six Southeast Asian countries, most of them are 30% or more of the whole sample except Vietnam only at 12%. The presence of asymmetric </w:t>
      </w:r>
      <w:r w:rsidR="003A3C9A" w:rsidRPr="007418EB">
        <w:rPr>
          <w:rFonts w:ascii="Times New Roman" w:eastAsia="Times New Roman" w:hAnsi="Times New Roman" w:cs="Times New Roman"/>
          <w:color w:val="000000" w:themeColor="text1"/>
          <w:lang w:val="en-US"/>
        </w:rPr>
        <w:t>exchange rate exposure</w:t>
      </w:r>
      <w:r w:rsidR="00CB1844" w:rsidRPr="007418EB">
        <w:rPr>
          <w:rFonts w:ascii="Times New Roman" w:eastAsia="Times New Roman" w:hAnsi="Times New Roman" w:cs="Times New Roman"/>
          <w:color w:val="000000" w:themeColor="text1"/>
          <w:lang w:val="en-US"/>
        </w:rPr>
        <w:t xml:space="preserve"> is also significant when accounting for approximately 50% of cases with exchange rate </w:t>
      </w:r>
      <w:r w:rsidR="00666E25" w:rsidRPr="007418EB">
        <w:rPr>
          <w:rFonts w:ascii="Times New Roman" w:eastAsia="Times New Roman" w:hAnsi="Times New Roman" w:cs="Times New Roman"/>
          <w:color w:val="000000" w:themeColor="text1"/>
          <w:lang w:val="en-US"/>
        </w:rPr>
        <w:t>exposure</w:t>
      </w:r>
      <w:r w:rsidR="00CB1844" w:rsidRPr="007418EB">
        <w:rPr>
          <w:rFonts w:ascii="Times New Roman" w:eastAsia="Times New Roman" w:hAnsi="Times New Roman" w:cs="Times New Roman"/>
          <w:color w:val="000000" w:themeColor="text1"/>
          <w:lang w:val="en-US"/>
        </w:rPr>
        <w:t>.</w:t>
      </w:r>
    </w:p>
    <w:p w:rsidR="00CB1844" w:rsidRPr="007418EB" w:rsidRDefault="00CB1844"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b/>
          <w:bCs/>
          <w:color w:val="000000" w:themeColor="text1"/>
          <w:lang w:val="en-US"/>
        </w:rPr>
        <w:t>4.2.2 Regression results for each year in the period 2010 - 2017</w:t>
      </w:r>
    </w:p>
    <w:p w:rsidR="00CB1844" w:rsidRPr="007418EB" w:rsidRDefault="00CB1844"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color w:val="000000" w:themeColor="text1"/>
          <w:lang w:val="en-US"/>
        </w:rPr>
        <w:t>The t</w:t>
      </w:r>
      <w:r w:rsidR="00DF4A81" w:rsidRPr="007418EB">
        <w:rPr>
          <w:rFonts w:ascii="Times New Roman" w:eastAsia="Times New Roman" w:hAnsi="Times New Roman" w:cs="Times New Roman"/>
          <w:color w:val="000000" w:themeColor="text1"/>
          <w:lang w:val="en-US"/>
        </w:rPr>
        <w:t>hesis divides the research framework</w:t>
      </w:r>
      <w:r w:rsidRPr="007418EB">
        <w:rPr>
          <w:rFonts w:ascii="Times New Roman" w:eastAsia="Times New Roman" w:hAnsi="Times New Roman" w:cs="Times New Roman"/>
          <w:color w:val="000000" w:themeColor="text1"/>
          <w:lang w:val="en-US"/>
        </w:rPr>
        <w:t xml:space="preserve"> to help identify the time-varying characteristics of </w:t>
      </w:r>
      <w:r w:rsidR="003A3C9A" w:rsidRPr="007418EB">
        <w:rPr>
          <w:rFonts w:ascii="Times New Roman" w:eastAsia="Times New Roman" w:hAnsi="Times New Roman" w:cs="Times New Roman"/>
          <w:color w:val="000000" w:themeColor="text1"/>
          <w:lang w:val="en-US"/>
        </w:rPr>
        <w:t>exchange rate exposure</w:t>
      </w:r>
      <w:r w:rsidRPr="007418EB">
        <w:rPr>
          <w:rFonts w:ascii="Times New Roman" w:eastAsia="Times New Roman" w:hAnsi="Times New Roman" w:cs="Times New Roman"/>
          <w:color w:val="000000" w:themeColor="text1"/>
          <w:lang w:val="en-US"/>
        </w:rPr>
        <w:t xml:space="preserve"> at the firm level. So the study pe</w:t>
      </w:r>
      <w:r w:rsidR="00CA7723" w:rsidRPr="007418EB">
        <w:rPr>
          <w:rFonts w:ascii="Times New Roman" w:eastAsia="Times New Roman" w:hAnsi="Times New Roman" w:cs="Times New Roman"/>
          <w:color w:val="000000" w:themeColor="text1"/>
          <w:lang w:val="en-US"/>
        </w:rPr>
        <w:t>riod 2010-2017 will split into eight</w:t>
      </w:r>
      <w:r w:rsidRPr="007418EB">
        <w:rPr>
          <w:rFonts w:ascii="Times New Roman" w:eastAsia="Times New Roman" w:hAnsi="Times New Roman" w:cs="Times New Roman"/>
          <w:color w:val="000000" w:themeColor="text1"/>
          <w:lang w:val="en-US"/>
        </w:rPr>
        <w:t xml:space="preserve"> year</w:t>
      </w:r>
      <w:r w:rsidR="00CA7723" w:rsidRPr="007418EB">
        <w:rPr>
          <w:rFonts w:ascii="Times New Roman" w:eastAsia="Times New Roman" w:hAnsi="Times New Roman" w:cs="Times New Roman"/>
          <w:color w:val="000000" w:themeColor="text1"/>
          <w:lang w:val="en-US"/>
        </w:rPr>
        <w:t>s</w:t>
      </w:r>
      <w:r w:rsidRPr="007418EB">
        <w:rPr>
          <w:rFonts w:ascii="Times New Roman" w:eastAsia="Times New Roman" w:hAnsi="Times New Roman" w:cs="Times New Roman"/>
          <w:color w:val="000000" w:themeColor="text1"/>
          <w:lang w:val="en-US"/>
        </w:rPr>
        <w:t xml:space="preserve"> and </w:t>
      </w:r>
      <w:r w:rsidR="00CA7723" w:rsidRPr="007418EB">
        <w:rPr>
          <w:rFonts w:ascii="Times New Roman" w:eastAsia="Times New Roman" w:hAnsi="Times New Roman" w:cs="Times New Roman"/>
          <w:color w:val="000000" w:themeColor="text1"/>
          <w:lang w:val="en-US"/>
        </w:rPr>
        <w:t>regress</w:t>
      </w:r>
      <w:r w:rsidRPr="007418EB">
        <w:rPr>
          <w:rFonts w:ascii="Times New Roman" w:eastAsia="Times New Roman" w:hAnsi="Times New Roman" w:cs="Times New Roman"/>
          <w:color w:val="000000" w:themeColor="text1"/>
          <w:lang w:val="en-US"/>
        </w:rPr>
        <w:t xml:space="preserve"> </w:t>
      </w:r>
      <w:r w:rsidR="00CA7723" w:rsidRPr="007418EB">
        <w:rPr>
          <w:rFonts w:ascii="Times New Roman" w:eastAsia="Times New Roman" w:hAnsi="Times New Roman" w:cs="Times New Roman"/>
          <w:color w:val="000000" w:themeColor="text1"/>
          <w:lang w:val="en-US"/>
        </w:rPr>
        <w:t>firm-level exchange rate exposure</w:t>
      </w:r>
      <w:r w:rsidRPr="007418EB">
        <w:rPr>
          <w:rFonts w:ascii="Times New Roman" w:eastAsia="Times New Roman" w:hAnsi="Times New Roman" w:cs="Times New Roman"/>
          <w:color w:val="000000" w:themeColor="text1"/>
          <w:lang w:val="en-US"/>
        </w:rPr>
        <w:t xml:space="preserve"> each country.</w:t>
      </w:r>
    </w:p>
    <w:p w:rsidR="00CB1844" w:rsidRPr="007418EB" w:rsidRDefault="00CA7723"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color w:val="000000" w:themeColor="text1"/>
          <w:lang w:val="en-US"/>
        </w:rPr>
        <w:t>In</w:t>
      </w:r>
      <w:r w:rsidR="00CB1844" w:rsidRPr="007418EB">
        <w:rPr>
          <w:rFonts w:ascii="Times New Roman" w:eastAsia="Times New Roman" w:hAnsi="Times New Roman" w:cs="Times New Roman"/>
          <w:color w:val="000000" w:themeColor="text1"/>
          <w:lang w:val="en-US"/>
        </w:rPr>
        <w:t xml:space="preserve"> Indonesia, Malaysia, Singapore and Thailand</w:t>
      </w:r>
      <w:r w:rsidRPr="007418EB">
        <w:rPr>
          <w:rFonts w:ascii="Times New Roman" w:eastAsia="Times New Roman" w:hAnsi="Times New Roman" w:cs="Times New Roman"/>
          <w:color w:val="000000" w:themeColor="text1"/>
          <w:lang w:val="en-US"/>
        </w:rPr>
        <w:t xml:space="preserve"> market</w:t>
      </w:r>
      <w:r w:rsidR="00CB1844" w:rsidRPr="007418EB">
        <w:rPr>
          <w:rFonts w:ascii="Times New Roman" w:eastAsia="Times New Roman" w:hAnsi="Times New Roman" w:cs="Times New Roman"/>
          <w:color w:val="000000" w:themeColor="text1"/>
          <w:lang w:val="en-US"/>
        </w:rPr>
        <w:t xml:space="preserve">, the period after the global financial crisis (2010-2011), </w:t>
      </w:r>
      <w:r w:rsidRPr="007418EB">
        <w:rPr>
          <w:rFonts w:ascii="Times New Roman" w:eastAsia="Times New Roman" w:hAnsi="Times New Roman" w:cs="Times New Roman"/>
          <w:color w:val="000000" w:themeColor="text1"/>
          <w:lang w:val="en-US"/>
        </w:rPr>
        <w:t>the percentage of companies with exchange rate exposure is</w:t>
      </w:r>
      <w:r w:rsidR="00CB1844" w:rsidRPr="007418EB">
        <w:rPr>
          <w:rFonts w:ascii="Times New Roman" w:eastAsia="Times New Roman" w:hAnsi="Times New Roman" w:cs="Times New Roman"/>
          <w:color w:val="000000" w:themeColor="text1"/>
          <w:lang w:val="en-US"/>
        </w:rPr>
        <w:t xml:space="preserve"> high and </w:t>
      </w:r>
      <w:r w:rsidRPr="007418EB">
        <w:rPr>
          <w:rFonts w:ascii="Times New Roman" w:eastAsia="Times New Roman" w:hAnsi="Times New Roman" w:cs="Times New Roman"/>
          <w:color w:val="000000" w:themeColor="text1"/>
          <w:lang w:val="en-US"/>
        </w:rPr>
        <w:t>tend to be stable in the following years</w:t>
      </w:r>
      <w:r w:rsidR="00CB1844" w:rsidRPr="007418EB">
        <w:rPr>
          <w:rFonts w:ascii="Times New Roman" w:eastAsia="Times New Roman" w:hAnsi="Times New Roman" w:cs="Times New Roman"/>
          <w:color w:val="000000" w:themeColor="text1"/>
          <w:lang w:val="en-US"/>
        </w:rPr>
        <w:t>. </w:t>
      </w:r>
      <w:r w:rsidRPr="007418EB">
        <w:rPr>
          <w:rFonts w:ascii="Times New Roman" w:eastAsia="Times New Roman" w:hAnsi="Times New Roman" w:cs="Times New Roman"/>
          <w:color w:val="000000" w:themeColor="text1"/>
          <w:lang w:val="en-US"/>
        </w:rPr>
        <w:t>In t</w:t>
      </w:r>
      <w:r w:rsidR="00CB1844" w:rsidRPr="007418EB">
        <w:rPr>
          <w:rFonts w:ascii="Times New Roman" w:eastAsia="Times New Roman" w:hAnsi="Times New Roman" w:cs="Times New Roman"/>
          <w:color w:val="000000" w:themeColor="text1"/>
          <w:lang w:val="en-US"/>
        </w:rPr>
        <w:t>he period 2014-2015</w:t>
      </w:r>
      <w:r w:rsidRPr="007418EB">
        <w:rPr>
          <w:rFonts w:ascii="Times New Roman" w:eastAsia="Times New Roman" w:hAnsi="Times New Roman" w:cs="Times New Roman"/>
          <w:color w:val="000000" w:themeColor="text1"/>
          <w:lang w:val="en-US"/>
        </w:rPr>
        <w:t>,</w:t>
      </w:r>
      <w:r w:rsidR="00CB1844" w:rsidRPr="007418EB">
        <w:rPr>
          <w:rFonts w:ascii="Times New Roman" w:eastAsia="Times New Roman" w:hAnsi="Times New Roman" w:cs="Times New Roman"/>
          <w:color w:val="000000" w:themeColor="text1"/>
          <w:lang w:val="en-US"/>
        </w:rPr>
        <w:t xml:space="preserve"> </w:t>
      </w:r>
      <w:r w:rsidRPr="007418EB">
        <w:rPr>
          <w:rFonts w:ascii="Times New Roman" w:eastAsia="Times New Roman" w:hAnsi="Times New Roman" w:cs="Times New Roman"/>
          <w:color w:val="000000" w:themeColor="text1"/>
          <w:lang w:val="en-US"/>
        </w:rPr>
        <w:t xml:space="preserve">the proportion of companies with exchange rate exposure increased in countries </w:t>
      </w:r>
      <w:r w:rsidR="008B2D7A" w:rsidRPr="007418EB">
        <w:rPr>
          <w:rFonts w:ascii="Times New Roman" w:eastAsia="Times New Roman" w:hAnsi="Times New Roman" w:cs="Times New Roman"/>
          <w:color w:val="000000" w:themeColor="text1"/>
          <w:lang w:val="en-US"/>
        </w:rPr>
        <w:t>because this is the time when the economies with important trade relations with ASEAN in terms of trade and investment are the United States and China with important adjustments in monetary policy, in particular FED raised the basic interest rate of US dollar as well as the Central Bank of China devaluated CNY. These external shocks have impacted the international forex market as well as the exchange rate policy and increased the proportion of companies with exchange rate exposure</w:t>
      </w:r>
      <w:r w:rsidR="00CB1844" w:rsidRPr="007418EB">
        <w:rPr>
          <w:rFonts w:ascii="Times New Roman" w:eastAsia="Times New Roman" w:hAnsi="Times New Roman" w:cs="Times New Roman"/>
          <w:color w:val="000000" w:themeColor="text1"/>
          <w:lang w:val="en-US"/>
        </w:rPr>
        <w:t>.</w:t>
      </w:r>
    </w:p>
    <w:p w:rsidR="00CB1844" w:rsidRPr="007418EB" w:rsidRDefault="00EF00BF"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color w:val="000000" w:themeColor="text1"/>
          <w:lang w:val="en-US"/>
        </w:rPr>
        <w:lastRenderedPageBreak/>
        <w:t>I</w:t>
      </w:r>
      <w:r w:rsidR="008B2D7A" w:rsidRPr="007418EB">
        <w:rPr>
          <w:rFonts w:ascii="Times New Roman" w:eastAsia="Times New Roman" w:hAnsi="Times New Roman" w:cs="Times New Roman"/>
          <w:color w:val="000000" w:themeColor="text1"/>
          <w:lang w:val="en-US"/>
        </w:rPr>
        <w:t>n addition, Malaysia and Vietnam have adjusted the exchange rate manage</w:t>
      </w:r>
      <w:r w:rsidRPr="007418EB">
        <w:rPr>
          <w:rFonts w:ascii="Times New Roman" w:eastAsia="Times New Roman" w:hAnsi="Times New Roman" w:cs="Times New Roman"/>
          <w:color w:val="000000" w:themeColor="text1"/>
          <w:lang w:val="en-US"/>
        </w:rPr>
        <w:t xml:space="preserve">ment policy in a new direction. </w:t>
      </w:r>
      <w:r w:rsidR="008B2D7A" w:rsidRPr="007418EB">
        <w:rPr>
          <w:rFonts w:ascii="Times New Roman" w:eastAsia="Times New Roman" w:hAnsi="Times New Roman" w:cs="Times New Roman"/>
          <w:color w:val="000000" w:themeColor="text1"/>
          <w:lang w:val="en-US"/>
        </w:rPr>
        <w:t>Malaysia</w:t>
      </w:r>
      <w:r w:rsidRPr="007418EB">
        <w:rPr>
          <w:rFonts w:ascii="Times New Roman" w:eastAsia="Times New Roman" w:hAnsi="Times New Roman" w:cs="Times New Roman"/>
          <w:color w:val="000000" w:themeColor="text1"/>
          <w:lang w:val="en-US"/>
        </w:rPr>
        <w:t>, from September 2017, changed</w:t>
      </w:r>
      <w:r w:rsidR="00476E1C" w:rsidRPr="007418EB">
        <w:rPr>
          <w:rFonts w:ascii="Times New Roman" w:eastAsia="Times New Roman" w:hAnsi="Times New Roman" w:cs="Times New Roman"/>
          <w:color w:val="000000" w:themeColor="text1"/>
          <w:lang w:val="en-US"/>
        </w:rPr>
        <w:t xml:space="preserve"> the exchange rate regime</w:t>
      </w:r>
      <w:r w:rsidRPr="007418EB">
        <w:rPr>
          <w:rFonts w:ascii="Times New Roman" w:eastAsia="Times New Roman" w:hAnsi="Times New Roman" w:cs="Times New Roman"/>
          <w:color w:val="000000" w:themeColor="text1"/>
          <w:lang w:val="en-US"/>
        </w:rPr>
        <w:t xml:space="preserve"> with a floating regime</w:t>
      </w:r>
      <w:r w:rsidR="008B2D7A" w:rsidRPr="007418EB">
        <w:rPr>
          <w:rFonts w:ascii="Times New Roman" w:eastAsia="Times New Roman" w:hAnsi="Times New Roman" w:cs="Times New Roman"/>
          <w:color w:val="000000" w:themeColor="text1"/>
          <w:lang w:val="en-US"/>
        </w:rPr>
        <w:t>. From 2016,</w:t>
      </w:r>
      <w:r w:rsidR="00476E1C" w:rsidRPr="007418EB">
        <w:rPr>
          <w:rFonts w:ascii="Times New Roman" w:eastAsia="Times New Roman" w:hAnsi="Times New Roman" w:cs="Times New Roman"/>
          <w:color w:val="000000" w:themeColor="text1"/>
          <w:lang w:val="en-US"/>
        </w:rPr>
        <w:t xml:space="preserve"> Vietnam uses</w:t>
      </w:r>
      <w:r w:rsidR="008B2D7A" w:rsidRPr="007418EB">
        <w:rPr>
          <w:rFonts w:ascii="Times New Roman" w:eastAsia="Times New Roman" w:hAnsi="Times New Roman" w:cs="Times New Roman"/>
          <w:color w:val="000000" w:themeColor="text1"/>
          <w:lang w:val="en-US"/>
        </w:rPr>
        <w:t xml:space="preserve"> </w:t>
      </w:r>
      <w:r w:rsidR="00476E1C" w:rsidRPr="007418EB">
        <w:rPr>
          <w:rFonts w:ascii="Times New Roman" w:eastAsia="Times New Roman" w:hAnsi="Times New Roman" w:cs="Times New Roman"/>
          <w:color w:val="000000" w:themeColor="text1"/>
          <w:lang w:val="en-US"/>
        </w:rPr>
        <w:t xml:space="preserve">central exchange rate </w:t>
      </w:r>
      <w:r w:rsidR="008B2D7A" w:rsidRPr="007418EB">
        <w:rPr>
          <w:rFonts w:ascii="Times New Roman" w:eastAsia="Times New Roman" w:hAnsi="Times New Roman" w:cs="Times New Roman"/>
          <w:color w:val="000000" w:themeColor="text1"/>
          <w:lang w:val="en-US"/>
        </w:rPr>
        <w:t xml:space="preserve">instead of the </w:t>
      </w:r>
      <w:r w:rsidR="00476E1C" w:rsidRPr="007418EB">
        <w:rPr>
          <w:rFonts w:ascii="Times New Roman" w:eastAsia="Times New Roman" w:hAnsi="Times New Roman" w:cs="Times New Roman"/>
          <w:color w:val="000000" w:themeColor="text1"/>
          <w:lang w:val="en-US"/>
        </w:rPr>
        <w:t xml:space="preserve">interbank average exchange rate, so </w:t>
      </w:r>
      <w:r w:rsidR="008B2D7A" w:rsidRPr="007418EB">
        <w:rPr>
          <w:rFonts w:ascii="Times New Roman" w:eastAsia="Times New Roman" w:hAnsi="Times New Roman" w:cs="Times New Roman"/>
          <w:color w:val="000000" w:themeColor="text1"/>
          <w:lang w:val="en-US"/>
        </w:rPr>
        <w:t xml:space="preserve">that the exchange rate will be </w:t>
      </w:r>
      <w:r w:rsidR="00476E1C" w:rsidRPr="007418EB">
        <w:rPr>
          <w:rFonts w:ascii="Times New Roman" w:eastAsia="Times New Roman" w:hAnsi="Times New Roman" w:cs="Times New Roman"/>
          <w:color w:val="000000" w:themeColor="text1"/>
          <w:lang w:val="en-US"/>
        </w:rPr>
        <w:t>more flexible</w:t>
      </w:r>
      <w:r w:rsidR="008B2D7A" w:rsidRPr="007418EB">
        <w:rPr>
          <w:rFonts w:ascii="Times New Roman" w:eastAsia="Times New Roman" w:hAnsi="Times New Roman" w:cs="Times New Roman"/>
          <w:color w:val="000000" w:themeColor="text1"/>
          <w:lang w:val="en-US"/>
        </w:rPr>
        <w:t>. This is a trend consistent with the fact that these two countries are making deeper international trade integration after the signing of the Comprehensive and Progressive Agreement for Trans-Pacific Partnership (CPTPP), international capital flows will increase, putting pressure on the exchange rate and the coordination between macroeconomic management policies, so the exchange rate needs to be operated in a more flexible manner. Vietnam</w:t>
      </w:r>
      <w:r w:rsidR="00476E1C" w:rsidRPr="007418EB">
        <w:rPr>
          <w:rFonts w:ascii="Times New Roman" w:eastAsia="Times New Roman" w:hAnsi="Times New Roman" w:cs="Times New Roman"/>
          <w:color w:val="000000" w:themeColor="text1"/>
          <w:lang w:val="en-US"/>
        </w:rPr>
        <w:t>’</w:t>
      </w:r>
      <w:r w:rsidR="008B2D7A" w:rsidRPr="007418EB">
        <w:rPr>
          <w:rFonts w:ascii="Times New Roman" w:eastAsia="Times New Roman" w:hAnsi="Times New Roman" w:cs="Times New Roman"/>
          <w:color w:val="000000" w:themeColor="text1"/>
          <w:lang w:val="en-US"/>
        </w:rPr>
        <w:t xml:space="preserve">s exchange rate </w:t>
      </w:r>
      <w:r w:rsidR="00476E1C" w:rsidRPr="007418EB">
        <w:rPr>
          <w:rFonts w:ascii="Times New Roman" w:eastAsia="Times New Roman" w:hAnsi="Times New Roman" w:cs="Times New Roman"/>
          <w:color w:val="000000" w:themeColor="text1"/>
          <w:lang w:val="en-US"/>
        </w:rPr>
        <w:t>exposure</w:t>
      </w:r>
      <w:r w:rsidR="008B2D7A" w:rsidRPr="007418EB">
        <w:rPr>
          <w:rFonts w:ascii="Times New Roman" w:eastAsia="Times New Roman" w:hAnsi="Times New Roman" w:cs="Times New Roman"/>
          <w:color w:val="000000" w:themeColor="text1"/>
          <w:lang w:val="en-US"/>
        </w:rPr>
        <w:t xml:space="preserve"> in 2017 is higher than previous years, reflecting the</w:t>
      </w:r>
      <w:r w:rsidR="00476E1C" w:rsidRPr="007418EB">
        <w:rPr>
          <w:rFonts w:ascii="Times New Roman" w:eastAsia="Times New Roman" w:hAnsi="Times New Roman" w:cs="Times New Roman"/>
          <w:color w:val="000000" w:themeColor="text1"/>
          <w:lang w:val="en-US"/>
        </w:rPr>
        <w:t xml:space="preserve"> more significant </w:t>
      </w:r>
      <w:r w:rsidR="008B2D7A" w:rsidRPr="007418EB">
        <w:rPr>
          <w:rFonts w:ascii="Times New Roman" w:eastAsia="Times New Roman" w:hAnsi="Times New Roman" w:cs="Times New Roman"/>
          <w:color w:val="000000" w:themeColor="text1"/>
          <w:lang w:val="en-US"/>
        </w:rPr>
        <w:t>influence of exchange rate fluctuations on the profitability of listed companies</w:t>
      </w:r>
      <w:r w:rsidR="00CB1844" w:rsidRPr="007418EB">
        <w:rPr>
          <w:rFonts w:ascii="Times New Roman" w:eastAsia="Times New Roman" w:hAnsi="Times New Roman" w:cs="Times New Roman"/>
          <w:color w:val="000000" w:themeColor="text1"/>
          <w:lang w:val="en-US"/>
        </w:rPr>
        <w:t>.</w:t>
      </w:r>
    </w:p>
    <w:p w:rsidR="00CB1844" w:rsidRPr="007418EB" w:rsidRDefault="00CB1844"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b/>
          <w:bCs/>
          <w:color w:val="000000" w:themeColor="text1"/>
          <w:lang w:val="en-US"/>
        </w:rPr>
        <w:t xml:space="preserve">4.2.3 Identify factors that affect the likelihood of </w:t>
      </w:r>
      <w:r w:rsidR="003A3C9A" w:rsidRPr="007418EB">
        <w:rPr>
          <w:rFonts w:ascii="Times New Roman" w:eastAsia="Times New Roman" w:hAnsi="Times New Roman" w:cs="Times New Roman"/>
          <w:b/>
          <w:bCs/>
          <w:color w:val="000000" w:themeColor="text1"/>
          <w:lang w:val="en-US"/>
        </w:rPr>
        <w:t>exchange rate exposure</w:t>
      </w:r>
    </w:p>
    <w:p w:rsidR="00CB1844" w:rsidRPr="007418EB" w:rsidRDefault="00CB1844"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color w:val="000000" w:themeColor="text1"/>
          <w:lang w:val="en-US"/>
        </w:rPr>
        <w:t xml:space="preserve">In the four countries of Indonesia, Philippines, Thailand and Vietnam, the disparity of </w:t>
      </w:r>
      <w:r w:rsidR="003A3C9A" w:rsidRPr="007418EB">
        <w:rPr>
          <w:rFonts w:ascii="Times New Roman" w:eastAsia="Times New Roman" w:hAnsi="Times New Roman" w:cs="Times New Roman"/>
          <w:color w:val="000000" w:themeColor="text1"/>
          <w:lang w:val="en-US"/>
        </w:rPr>
        <w:t>exchange rate exposure</w:t>
      </w:r>
      <w:r w:rsidRPr="007418EB">
        <w:rPr>
          <w:rFonts w:ascii="Times New Roman" w:eastAsia="Times New Roman" w:hAnsi="Times New Roman" w:cs="Times New Roman"/>
          <w:color w:val="000000" w:themeColor="text1"/>
          <w:lang w:val="en-US"/>
        </w:rPr>
        <w:t xml:space="preserve"> is concentrated in the case corresponding to the enterprise</w:t>
      </w:r>
      <w:r w:rsidR="00B1684C" w:rsidRPr="007418EB">
        <w:rPr>
          <w:rFonts w:ascii="Times New Roman" w:eastAsia="Times New Roman" w:hAnsi="Times New Roman" w:cs="Times New Roman"/>
          <w:color w:val="000000" w:themeColor="text1"/>
          <w:lang w:val="en-US"/>
        </w:rPr>
        <w:t>’</w:t>
      </w:r>
      <w:r w:rsidRPr="007418EB">
        <w:rPr>
          <w:rFonts w:ascii="Times New Roman" w:eastAsia="Times New Roman" w:hAnsi="Times New Roman" w:cs="Times New Roman"/>
          <w:color w:val="000000" w:themeColor="text1"/>
          <w:lang w:val="en-US"/>
        </w:rPr>
        <w:t>s pricing</w:t>
      </w:r>
      <w:r w:rsidR="00476E1C" w:rsidRPr="007418EB">
        <w:rPr>
          <w:rFonts w:ascii="Times New Roman" w:eastAsia="Times New Roman" w:hAnsi="Times New Roman" w:cs="Times New Roman"/>
          <w:color w:val="000000" w:themeColor="text1"/>
          <w:lang w:val="en-US"/>
        </w:rPr>
        <w:t xml:space="preserve"> to market</w:t>
      </w:r>
      <w:r w:rsidRPr="007418EB">
        <w:rPr>
          <w:rFonts w:ascii="Times New Roman" w:eastAsia="Times New Roman" w:hAnsi="Times New Roman" w:cs="Times New Roman"/>
          <w:color w:val="000000" w:themeColor="text1"/>
          <w:lang w:val="en-US"/>
        </w:rPr>
        <w:t xml:space="preserve"> with the market </w:t>
      </w:r>
      <w:r w:rsidR="00861EAE" w:rsidRPr="007418EB">
        <w:rPr>
          <w:rFonts w:ascii="Times New Roman" w:eastAsia="Times New Roman" w:hAnsi="Times New Roman" w:cs="Times New Roman"/>
          <w:color w:val="000000" w:themeColor="text1"/>
          <w:lang w:val="en-US"/>
        </w:rPr>
        <w:t>share</w:t>
      </w:r>
      <w:r w:rsidR="00476E1C" w:rsidRPr="007418EB">
        <w:rPr>
          <w:rFonts w:ascii="Times New Roman" w:eastAsia="Times New Roman" w:hAnsi="Times New Roman" w:cs="Times New Roman"/>
          <w:color w:val="000000" w:themeColor="text1"/>
          <w:lang w:val="en-US"/>
        </w:rPr>
        <w:t xml:space="preserve"> objective </w:t>
      </w:r>
      <w:r w:rsidR="00861EAE" w:rsidRPr="007418EB">
        <w:rPr>
          <w:rFonts w:ascii="Times New Roman" w:eastAsia="Times New Roman" w:hAnsi="Times New Roman" w:cs="Times New Roman"/>
          <w:color w:val="000000" w:themeColor="text1"/>
          <w:lang w:val="en-US"/>
        </w:rPr>
        <w:t xml:space="preserve">and </w:t>
      </w:r>
      <w:r w:rsidR="00476E1C" w:rsidRPr="007418EB">
        <w:rPr>
          <w:rFonts w:ascii="Times New Roman" w:eastAsia="Times New Roman" w:hAnsi="Times New Roman" w:cs="Times New Roman"/>
          <w:color w:val="000000" w:themeColor="text1"/>
          <w:lang w:val="en-US"/>
        </w:rPr>
        <w:t>hysteresis</w:t>
      </w:r>
      <w:r w:rsidR="00861EAE" w:rsidRPr="007418EB">
        <w:rPr>
          <w:rFonts w:ascii="Times New Roman" w:eastAsia="Times New Roman" w:hAnsi="Times New Roman" w:cs="Times New Roman"/>
          <w:color w:val="000000" w:themeColor="text1"/>
          <w:lang w:val="en-US"/>
        </w:rPr>
        <w:t xml:space="preserve"> (</w:t>
      </w:r>
      <w:r w:rsidRPr="007418EB">
        <w:rPr>
          <w:rFonts w:ascii="Times New Roman" w:eastAsia="Times New Roman" w:hAnsi="Times New Roman" w:cs="Times New Roman"/>
          <w:color w:val="000000" w:themeColor="text1"/>
          <w:lang w:val="en-US"/>
        </w:rPr>
        <w:t>β</w:t>
      </w:r>
      <w:r w:rsidRPr="007418EB">
        <w:rPr>
          <w:rFonts w:ascii="Times New Roman" w:eastAsia="Times New Roman" w:hAnsi="Times New Roman" w:cs="Times New Roman"/>
          <w:color w:val="000000" w:themeColor="text1"/>
          <w:vertAlign w:val="subscript"/>
          <w:lang w:val="en-US"/>
        </w:rPr>
        <w:t>3</w:t>
      </w:r>
      <w:r w:rsidRPr="007418EB">
        <w:rPr>
          <w:rFonts w:ascii="Times New Roman" w:eastAsia="Times New Roman" w:hAnsi="Times New Roman" w:cs="Times New Roman"/>
          <w:color w:val="000000" w:themeColor="text1"/>
          <w:lang w:val="en-US"/>
        </w:rPr>
        <w:t xml:space="preserve"> &lt;</w:t>
      </w:r>
      <w:r w:rsidR="00861EAE" w:rsidRPr="007418EB">
        <w:rPr>
          <w:rFonts w:ascii="Times New Roman" w:eastAsia="Times New Roman" w:hAnsi="Times New Roman" w:cs="Times New Roman"/>
          <w:color w:val="000000" w:themeColor="text1"/>
          <w:lang w:val="en-US"/>
        </w:rPr>
        <w:t xml:space="preserve"> </w:t>
      </w:r>
      <w:r w:rsidRPr="007418EB">
        <w:rPr>
          <w:rFonts w:ascii="Times New Roman" w:eastAsia="Times New Roman" w:hAnsi="Times New Roman" w:cs="Times New Roman"/>
          <w:color w:val="000000" w:themeColor="text1"/>
          <w:lang w:val="en-US"/>
        </w:rPr>
        <w:t>0 and β</w:t>
      </w:r>
      <w:r w:rsidRPr="007418EB">
        <w:rPr>
          <w:rFonts w:ascii="Times New Roman" w:eastAsia="Times New Roman" w:hAnsi="Times New Roman" w:cs="Times New Roman"/>
          <w:color w:val="000000" w:themeColor="text1"/>
          <w:vertAlign w:val="subscript"/>
          <w:lang w:val="en-US"/>
        </w:rPr>
        <w:t>2</w:t>
      </w:r>
      <w:r w:rsidR="00861EAE" w:rsidRPr="007418EB">
        <w:rPr>
          <w:rFonts w:ascii="Times New Roman" w:eastAsia="Times New Roman" w:hAnsi="Times New Roman" w:cs="Times New Roman"/>
          <w:color w:val="000000" w:themeColor="text1"/>
          <w:lang w:val="en-US"/>
        </w:rPr>
        <w:t xml:space="preserve"> </w:t>
      </w:r>
      <w:r w:rsidRPr="007418EB">
        <w:rPr>
          <w:rFonts w:ascii="Times New Roman" w:eastAsia="Times New Roman" w:hAnsi="Times New Roman" w:cs="Times New Roman"/>
          <w:color w:val="000000" w:themeColor="text1"/>
          <w:lang w:val="en-US"/>
        </w:rPr>
        <w:t>&gt; 0), in particular these are companies with a net export position.</w:t>
      </w:r>
    </w:p>
    <w:p w:rsidR="00AE2A58" w:rsidRDefault="00CB1844" w:rsidP="00CB1844">
      <w:pPr>
        <w:spacing w:after="0" w:line="340" w:lineRule="atLeast"/>
        <w:jc w:val="both"/>
        <w:rPr>
          <w:rFonts w:ascii="Times New Roman" w:eastAsia="Times New Roman" w:hAnsi="Times New Roman" w:cs="Times New Roman"/>
          <w:color w:val="000000" w:themeColor="text1"/>
          <w:lang w:val="en-US"/>
        </w:rPr>
      </w:pPr>
      <w:r w:rsidRPr="007418EB">
        <w:rPr>
          <w:rFonts w:ascii="Times New Roman" w:eastAsia="Times New Roman" w:hAnsi="Times New Roman" w:cs="Times New Roman"/>
          <w:color w:val="000000" w:themeColor="text1"/>
          <w:lang w:val="en-US"/>
        </w:rPr>
        <w:t xml:space="preserve">In Malaysia and Singapore, the sensitivity of asymmetric exchange rates is concentrated in the case </w:t>
      </w:r>
      <w:r w:rsidR="00476E1C" w:rsidRPr="007418EB">
        <w:rPr>
          <w:rFonts w:ascii="Times New Roman" w:eastAsia="Times New Roman" w:hAnsi="Times New Roman" w:cs="Times New Roman"/>
          <w:color w:val="000000" w:themeColor="text1"/>
          <w:lang w:val="en-US"/>
        </w:rPr>
        <w:t xml:space="preserve">corresponding to the enterprise’s pricing to market </w:t>
      </w:r>
      <w:r w:rsidRPr="007418EB">
        <w:rPr>
          <w:rFonts w:ascii="Times New Roman" w:eastAsia="Times New Roman" w:hAnsi="Times New Roman" w:cs="Times New Roman"/>
          <w:color w:val="000000" w:themeColor="text1"/>
          <w:lang w:val="en-US"/>
        </w:rPr>
        <w:t xml:space="preserve">with </w:t>
      </w:r>
      <w:r w:rsidR="00476E1C" w:rsidRPr="007418EB">
        <w:rPr>
          <w:rFonts w:ascii="Times New Roman" w:eastAsia="Times New Roman" w:hAnsi="Times New Roman" w:cs="Times New Roman"/>
          <w:color w:val="000000" w:themeColor="text1"/>
          <w:lang w:val="en-US"/>
        </w:rPr>
        <w:t>market share objective and hysteresis (β</w:t>
      </w:r>
      <w:r w:rsidR="00476E1C" w:rsidRPr="007418EB">
        <w:rPr>
          <w:rFonts w:ascii="Times New Roman" w:eastAsia="Times New Roman" w:hAnsi="Times New Roman" w:cs="Times New Roman"/>
          <w:color w:val="000000" w:themeColor="text1"/>
          <w:vertAlign w:val="subscript"/>
          <w:lang w:val="en-US"/>
        </w:rPr>
        <w:t>3</w:t>
      </w:r>
      <w:r w:rsidR="00476E1C" w:rsidRPr="007418EB">
        <w:rPr>
          <w:rFonts w:ascii="Times New Roman" w:eastAsia="Times New Roman" w:hAnsi="Times New Roman" w:cs="Times New Roman"/>
          <w:color w:val="000000" w:themeColor="text1"/>
          <w:lang w:val="en-US"/>
        </w:rPr>
        <w:t xml:space="preserve"> &lt;0 and β</w:t>
      </w:r>
      <w:r w:rsidR="00476E1C" w:rsidRPr="007418EB">
        <w:rPr>
          <w:rFonts w:ascii="Times New Roman" w:eastAsia="Times New Roman" w:hAnsi="Times New Roman" w:cs="Times New Roman"/>
          <w:color w:val="000000" w:themeColor="text1"/>
          <w:vertAlign w:val="subscript"/>
          <w:lang w:val="en-US"/>
        </w:rPr>
        <w:t>2</w:t>
      </w:r>
      <w:r w:rsidR="00476E1C" w:rsidRPr="007418EB">
        <w:rPr>
          <w:rFonts w:ascii="Times New Roman" w:eastAsia="Times New Roman" w:hAnsi="Times New Roman" w:cs="Times New Roman"/>
          <w:color w:val="000000" w:themeColor="text1"/>
          <w:lang w:val="en-US"/>
        </w:rPr>
        <w:t xml:space="preserve"> = 0)</w:t>
      </w:r>
      <w:r w:rsidRPr="007418EB">
        <w:rPr>
          <w:rFonts w:ascii="Times New Roman" w:eastAsia="Times New Roman" w:hAnsi="Times New Roman" w:cs="Times New Roman"/>
          <w:color w:val="000000" w:themeColor="text1"/>
          <w:lang w:val="en-US"/>
        </w:rPr>
        <w:t xml:space="preserve"> but these are companies with a net import position.</w:t>
      </w:r>
    </w:p>
    <w:p w:rsidR="00AE2A58" w:rsidRDefault="00AE2A58">
      <w:pPr>
        <w:rPr>
          <w:rFonts w:ascii="Times New Roman" w:eastAsia="Times New Roman" w:hAnsi="Times New Roman" w:cs="Times New Roman"/>
          <w:color w:val="000000" w:themeColor="text1"/>
          <w:lang w:val="en-US"/>
        </w:rPr>
      </w:pPr>
      <w:r>
        <w:rPr>
          <w:rFonts w:ascii="Times New Roman" w:eastAsia="Times New Roman" w:hAnsi="Times New Roman" w:cs="Times New Roman"/>
          <w:color w:val="000000" w:themeColor="text1"/>
          <w:lang w:val="en-US"/>
        </w:rPr>
        <w:br w:type="page"/>
      </w:r>
    </w:p>
    <w:p w:rsidR="00924D41" w:rsidRPr="007418EB" w:rsidRDefault="00CB1844" w:rsidP="00CB1844">
      <w:pPr>
        <w:spacing w:after="0" w:line="340" w:lineRule="atLeast"/>
        <w:jc w:val="both"/>
        <w:rPr>
          <w:rFonts w:ascii="Times New Roman" w:eastAsia="Times New Roman" w:hAnsi="Times New Roman" w:cs="Times New Roman"/>
          <w:b/>
          <w:bCs/>
          <w:color w:val="000000" w:themeColor="text1"/>
          <w:lang w:val="en-US"/>
        </w:rPr>
      </w:pPr>
      <w:r w:rsidRPr="007418EB">
        <w:rPr>
          <w:rFonts w:ascii="Times New Roman" w:eastAsia="Times New Roman" w:hAnsi="Times New Roman" w:cs="Times New Roman"/>
          <w:b/>
          <w:bCs/>
          <w:color w:val="000000" w:themeColor="text1"/>
          <w:lang w:val="en-US"/>
        </w:rPr>
        <w:lastRenderedPageBreak/>
        <w:t xml:space="preserve">4.2.4 The result of regression factors affecting the </w:t>
      </w:r>
      <w:r w:rsidR="008B2AA4" w:rsidRPr="007418EB">
        <w:rPr>
          <w:rFonts w:ascii="Times New Roman" w:eastAsia="Times New Roman" w:hAnsi="Times New Roman" w:cs="Times New Roman"/>
          <w:b/>
          <w:bCs/>
          <w:color w:val="000000" w:themeColor="text1"/>
          <w:lang w:val="en-US"/>
        </w:rPr>
        <w:t xml:space="preserve">firm-level </w:t>
      </w:r>
      <w:r w:rsidR="003A3C9A" w:rsidRPr="007418EB">
        <w:rPr>
          <w:rFonts w:ascii="Times New Roman" w:eastAsia="Times New Roman" w:hAnsi="Times New Roman" w:cs="Times New Roman"/>
          <w:b/>
          <w:bCs/>
          <w:color w:val="000000" w:themeColor="text1"/>
          <w:lang w:val="en-US"/>
        </w:rPr>
        <w:t>exchange rate exposure</w:t>
      </w:r>
      <w:r w:rsidRPr="007418EB">
        <w:rPr>
          <w:rFonts w:ascii="Times New Roman" w:eastAsia="Times New Roman" w:hAnsi="Times New Roman" w:cs="Times New Roman"/>
          <w:b/>
          <w:bCs/>
          <w:color w:val="000000" w:themeColor="text1"/>
          <w:lang w:val="en-US"/>
        </w:rPr>
        <w:t xml:space="preserve"> in </w:t>
      </w:r>
      <w:r w:rsidR="00B87F1C" w:rsidRPr="007418EB">
        <w:rPr>
          <w:rFonts w:ascii="Times New Roman" w:eastAsia="Times New Roman" w:hAnsi="Times New Roman" w:cs="Times New Roman"/>
          <w:b/>
          <w:bCs/>
          <w:color w:val="000000" w:themeColor="text1"/>
          <w:lang w:val="en-US"/>
        </w:rPr>
        <w:t>Southeast Asia</w:t>
      </w:r>
      <w:r w:rsidR="0081722E" w:rsidRPr="007418EB">
        <w:rPr>
          <w:rFonts w:ascii="Times New Roman" w:eastAsia="Times New Roman" w:hAnsi="Times New Roman" w:cs="Times New Roman"/>
          <w:b/>
          <w:bCs/>
          <w:color w:val="000000" w:themeColor="text1"/>
          <w:lang w:val="en-US"/>
        </w:rPr>
        <w:t xml:space="preserve"> countries</w:t>
      </w:r>
    </w:p>
    <w:p w:rsidR="00882A07" w:rsidRPr="007418EB" w:rsidRDefault="008B2AA4" w:rsidP="00882A07">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color w:val="000000" w:themeColor="text1"/>
          <w:lang w:val="en-US"/>
        </w:rPr>
        <w:t>Factors that determine the extent and likelihood of the exchange rate exposure of firms associated with international trading position (net exporter or net</w:t>
      </w:r>
      <w:r w:rsidR="005F24DB" w:rsidRPr="007418EB">
        <w:rPr>
          <w:rFonts w:ascii="Times New Roman" w:eastAsia="Times New Roman" w:hAnsi="Times New Roman" w:cs="Times New Roman"/>
          <w:color w:val="000000" w:themeColor="text1"/>
          <w:lang w:val="en-US"/>
        </w:rPr>
        <w:t xml:space="preserve"> importer) and characteristics of c</w:t>
      </w:r>
      <w:r w:rsidRPr="007418EB">
        <w:rPr>
          <w:rFonts w:ascii="Times New Roman" w:eastAsia="Times New Roman" w:hAnsi="Times New Roman" w:cs="Times New Roman"/>
          <w:color w:val="000000" w:themeColor="text1"/>
          <w:lang w:val="en-US"/>
        </w:rPr>
        <w:t xml:space="preserve">orporate finance </w:t>
      </w:r>
      <w:r w:rsidR="005F24DB" w:rsidRPr="007418EB">
        <w:rPr>
          <w:rFonts w:ascii="Times New Roman" w:eastAsia="Times New Roman" w:hAnsi="Times New Roman" w:cs="Times New Roman"/>
          <w:color w:val="000000" w:themeColor="text1"/>
          <w:lang w:val="en-US"/>
        </w:rPr>
        <w:t>are</w:t>
      </w:r>
      <w:r w:rsidRPr="007418EB">
        <w:rPr>
          <w:rFonts w:ascii="Times New Roman" w:eastAsia="Times New Roman" w:hAnsi="Times New Roman" w:cs="Times New Roman"/>
          <w:color w:val="000000" w:themeColor="text1"/>
          <w:lang w:val="en-US"/>
        </w:rPr>
        <w:t xml:space="preserve"> market value, debt ratio, market price to book value, st</w:t>
      </w:r>
      <w:r w:rsidR="005F24DB" w:rsidRPr="007418EB">
        <w:rPr>
          <w:rFonts w:ascii="Times New Roman" w:eastAsia="Times New Roman" w:hAnsi="Times New Roman" w:cs="Times New Roman"/>
          <w:color w:val="000000" w:themeColor="text1"/>
          <w:lang w:val="en-US"/>
        </w:rPr>
        <w:t>ock liquidity and quick ratio</w:t>
      </w:r>
      <w:r w:rsidRPr="007418EB">
        <w:rPr>
          <w:rFonts w:ascii="Times New Roman" w:eastAsia="Times New Roman" w:hAnsi="Times New Roman" w:cs="Times New Roman"/>
          <w:color w:val="000000" w:themeColor="text1"/>
          <w:lang w:val="en-US"/>
        </w:rPr>
        <w:t>.</w:t>
      </w:r>
    </w:p>
    <w:p w:rsidR="00882A07" w:rsidRPr="007418EB" w:rsidRDefault="00882A07" w:rsidP="00CB1844">
      <w:pPr>
        <w:spacing w:after="0" w:line="340" w:lineRule="atLeast"/>
        <w:jc w:val="both"/>
        <w:rPr>
          <w:rFonts w:ascii="Times New Roman" w:eastAsia="Times New Roman" w:hAnsi="Times New Roman" w:cs="Times New Roman"/>
          <w:b/>
          <w:bCs/>
          <w:color w:val="000000" w:themeColor="text1"/>
          <w:lang w:val="en-US"/>
        </w:rPr>
        <w:sectPr w:rsidR="00882A07" w:rsidRPr="007418EB" w:rsidSect="00821E83">
          <w:headerReference w:type="default" r:id="rId8"/>
          <w:pgSz w:w="8391" w:h="11907" w:code="11"/>
          <w:pgMar w:top="1134" w:right="1134" w:bottom="1134" w:left="1134" w:header="709" w:footer="709" w:gutter="0"/>
          <w:cols w:space="708"/>
          <w:docGrid w:linePitch="360"/>
        </w:sectPr>
      </w:pPr>
    </w:p>
    <w:p w:rsidR="00CB1844" w:rsidRPr="007418EB" w:rsidRDefault="00495746" w:rsidP="00CB1844">
      <w:pPr>
        <w:spacing w:after="0" w:line="340" w:lineRule="atLeast"/>
        <w:jc w:val="both"/>
        <w:rPr>
          <w:rFonts w:ascii="Times New Roman" w:eastAsia="Times New Roman" w:hAnsi="Times New Roman" w:cs="Times New Roman"/>
          <w:color w:val="000000" w:themeColor="text1"/>
          <w:sz w:val="27"/>
          <w:szCs w:val="27"/>
          <w:lang w:val="en-US"/>
        </w:rPr>
      </w:pPr>
      <w:bookmarkStart w:id="16" w:name="_Toc24281258"/>
      <w:r w:rsidRPr="007418EB">
        <w:rPr>
          <w:rFonts w:ascii="Times New Roman" w:eastAsia="Times New Roman" w:hAnsi="Times New Roman" w:cs="Times New Roman"/>
          <w:b/>
          <w:bCs/>
          <w:color w:val="000000" w:themeColor="text1"/>
          <w:lang w:val="en-US"/>
        </w:rPr>
        <w:lastRenderedPageBreak/>
        <w:t>Table</w:t>
      </w:r>
      <w:r w:rsidR="00CB1844" w:rsidRPr="007418EB">
        <w:rPr>
          <w:rFonts w:ascii="Times New Roman" w:eastAsia="Times New Roman" w:hAnsi="Times New Roman" w:cs="Times New Roman"/>
          <w:b/>
          <w:bCs/>
          <w:color w:val="000000" w:themeColor="text1"/>
          <w:lang w:val="en-US"/>
        </w:rPr>
        <w:t> </w:t>
      </w:r>
      <w:r w:rsidRPr="007418EB">
        <w:rPr>
          <w:rFonts w:ascii="Times New Roman" w:eastAsia="Times New Roman" w:hAnsi="Times New Roman" w:cs="Times New Roman"/>
          <w:b/>
          <w:bCs/>
          <w:color w:val="000000" w:themeColor="text1"/>
          <w:lang w:val="en-US"/>
        </w:rPr>
        <w:t>4</w:t>
      </w:r>
      <w:r w:rsidR="00CB1844" w:rsidRPr="007418EB">
        <w:rPr>
          <w:rFonts w:ascii="Times New Roman" w:eastAsia="Times New Roman" w:hAnsi="Times New Roman" w:cs="Times New Roman"/>
          <w:b/>
          <w:bCs/>
          <w:color w:val="000000" w:themeColor="text1"/>
          <w:lang w:val="en-US"/>
        </w:rPr>
        <w:t>.26 Regression results (3.13) and (3.14) in the Southeast Asian market</w:t>
      </w:r>
      <w:bookmarkEnd w:id="16"/>
    </w:p>
    <w:tbl>
      <w:tblPr>
        <w:tblW w:w="11179" w:type="dxa"/>
        <w:jc w:val="center"/>
        <w:tblCellMar>
          <w:left w:w="0" w:type="dxa"/>
          <w:right w:w="0" w:type="dxa"/>
        </w:tblCellMar>
        <w:tblLook w:val="04A0" w:firstRow="1" w:lastRow="0" w:firstColumn="1" w:lastColumn="0" w:noHBand="0" w:noVBand="1"/>
      </w:tblPr>
      <w:tblGrid>
        <w:gridCol w:w="1026"/>
        <w:gridCol w:w="781"/>
        <w:gridCol w:w="844"/>
        <w:gridCol w:w="973"/>
        <w:gridCol w:w="969"/>
        <w:gridCol w:w="975"/>
        <w:gridCol w:w="836"/>
        <w:gridCol w:w="849"/>
        <w:gridCol w:w="703"/>
        <w:gridCol w:w="849"/>
        <w:gridCol w:w="836"/>
        <w:gridCol w:w="708"/>
        <w:gridCol w:w="830"/>
      </w:tblGrid>
      <w:tr w:rsidR="007418EB" w:rsidRPr="007418EB" w:rsidTr="005956A3">
        <w:trPr>
          <w:trHeight w:val="410"/>
          <w:jc w:val="center"/>
        </w:trPr>
        <w:tc>
          <w:tcPr>
            <w:tcW w:w="1026"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ind w:right="85"/>
              <w:jc w:val="center"/>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b/>
                <w:bCs/>
                <w:color w:val="000000" w:themeColor="text1"/>
                <w:sz w:val="16"/>
                <w:szCs w:val="16"/>
                <w:lang w:val="en-US"/>
              </w:rPr>
              <w:t>Variable</w:t>
            </w:r>
          </w:p>
        </w:tc>
        <w:tc>
          <w:tcPr>
            <w:tcW w:w="1625"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ind w:right="85"/>
              <w:jc w:val="center"/>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b/>
                <w:bCs/>
                <w:color w:val="000000" w:themeColor="text1"/>
                <w:sz w:val="16"/>
                <w:szCs w:val="16"/>
                <w:lang w:val="en-US"/>
              </w:rPr>
              <w:t>Indonesia</w:t>
            </w:r>
          </w:p>
        </w:tc>
        <w:tc>
          <w:tcPr>
            <w:tcW w:w="194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ind w:right="85"/>
              <w:jc w:val="center"/>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b/>
                <w:bCs/>
                <w:color w:val="000000" w:themeColor="text1"/>
                <w:sz w:val="16"/>
                <w:szCs w:val="16"/>
                <w:lang w:val="en-US"/>
              </w:rPr>
              <w:t>Malaysia</w:t>
            </w:r>
          </w:p>
        </w:tc>
        <w:tc>
          <w:tcPr>
            <w:tcW w:w="181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ind w:right="85"/>
              <w:jc w:val="center"/>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b/>
                <w:bCs/>
                <w:color w:val="000000" w:themeColor="text1"/>
                <w:sz w:val="16"/>
                <w:szCs w:val="16"/>
                <w:lang w:val="en-US"/>
              </w:rPr>
              <w:t>Philippines</w:t>
            </w:r>
          </w:p>
        </w:tc>
        <w:tc>
          <w:tcPr>
            <w:tcW w:w="155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ind w:right="85"/>
              <w:jc w:val="center"/>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b/>
                <w:bCs/>
                <w:color w:val="000000" w:themeColor="text1"/>
                <w:sz w:val="16"/>
                <w:szCs w:val="16"/>
                <w:lang w:val="en-US"/>
              </w:rPr>
              <w:t>Singapore</w:t>
            </w:r>
          </w:p>
        </w:tc>
        <w:tc>
          <w:tcPr>
            <w:tcW w:w="1685"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ind w:right="85"/>
              <w:jc w:val="center"/>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b/>
                <w:bCs/>
                <w:color w:val="000000" w:themeColor="text1"/>
                <w:sz w:val="16"/>
                <w:szCs w:val="16"/>
                <w:lang w:val="en-US"/>
              </w:rPr>
              <w:t>Thailand</w:t>
            </w:r>
          </w:p>
        </w:tc>
        <w:tc>
          <w:tcPr>
            <w:tcW w:w="153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ind w:right="85"/>
              <w:jc w:val="center"/>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b/>
                <w:bCs/>
                <w:color w:val="000000" w:themeColor="text1"/>
                <w:sz w:val="16"/>
                <w:szCs w:val="16"/>
                <w:lang w:val="en-US"/>
              </w:rPr>
              <w:t>Vietnam</w:t>
            </w:r>
          </w:p>
        </w:tc>
      </w:tr>
      <w:tr w:rsidR="007418EB" w:rsidRPr="007418EB" w:rsidTr="005956A3">
        <w:trPr>
          <w:trHeight w:val="418"/>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956A3" w:rsidRPr="007418EB" w:rsidRDefault="005956A3" w:rsidP="005956A3">
            <w:pPr>
              <w:spacing w:after="0" w:line="240" w:lineRule="auto"/>
              <w:rPr>
                <w:rFonts w:ascii="Times New Roman" w:eastAsia="Times New Roman" w:hAnsi="Times New Roman" w:cs="Times New Roman"/>
                <w:color w:val="000000" w:themeColor="text1"/>
                <w:sz w:val="24"/>
                <w:szCs w:val="24"/>
                <w:lang w:val="en-US"/>
              </w:rPr>
            </w:pPr>
          </w:p>
        </w:tc>
        <w:tc>
          <w:tcPr>
            <w:tcW w:w="7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5956A3" w:rsidRPr="007418EB" w:rsidRDefault="005956A3" w:rsidP="005956A3">
            <w:pPr>
              <w:spacing w:after="0" w:line="240" w:lineRule="auto"/>
              <w:ind w:right="85"/>
              <w:jc w:val="center"/>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b/>
                <w:bCs/>
                <w:color w:val="000000" w:themeColor="text1"/>
                <w:sz w:val="16"/>
                <w:szCs w:val="16"/>
                <w:lang w:val="en-US"/>
              </w:rPr>
              <w:t>(1)</w:t>
            </w:r>
          </w:p>
        </w:tc>
        <w:tc>
          <w:tcPr>
            <w:tcW w:w="8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5956A3" w:rsidRPr="007418EB" w:rsidRDefault="005956A3" w:rsidP="005956A3">
            <w:pPr>
              <w:spacing w:after="0" w:line="240" w:lineRule="auto"/>
              <w:ind w:right="85"/>
              <w:jc w:val="center"/>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b/>
                <w:bCs/>
                <w:color w:val="000000" w:themeColor="text1"/>
                <w:sz w:val="16"/>
                <w:szCs w:val="16"/>
                <w:lang w:val="en-US"/>
              </w:rPr>
              <w:t>(2)</w:t>
            </w:r>
          </w:p>
        </w:tc>
        <w:tc>
          <w:tcPr>
            <w:tcW w:w="97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5956A3" w:rsidRPr="007418EB" w:rsidRDefault="005956A3" w:rsidP="005956A3">
            <w:pPr>
              <w:spacing w:after="0" w:line="240" w:lineRule="auto"/>
              <w:ind w:right="85"/>
              <w:jc w:val="center"/>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b/>
                <w:bCs/>
                <w:color w:val="000000" w:themeColor="text1"/>
                <w:sz w:val="16"/>
                <w:szCs w:val="16"/>
                <w:lang w:val="en-US"/>
              </w:rPr>
              <w:t>(1)</w:t>
            </w:r>
          </w:p>
        </w:tc>
        <w:tc>
          <w:tcPr>
            <w:tcW w:w="96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5956A3" w:rsidRPr="007418EB" w:rsidRDefault="005956A3" w:rsidP="005956A3">
            <w:pPr>
              <w:spacing w:after="0" w:line="240" w:lineRule="auto"/>
              <w:ind w:right="85"/>
              <w:jc w:val="center"/>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b/>
                <w:bCs/>
                <w:color w:val="000000" w:themeColor="text1"/>
                <w:sz w:val="16"/>
                <w:szCs w:val="16"/>
                <w:lang w:val="en-US"/>
              </w:rPr>
              <w:t>(2)</w:t>
            </w:r>
          </w:p>
        </w:tc>
        <w:tc>
          <w:tcPr>
            <w:tcW w:w="9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5956A3" w:rsidRPr="007418EB" w:rsidRDefault="005956A3" w:rsidP="005956A3">
            <w:pPr>
              <w:spacing w:after="0" w:line="240" w:lineRule="auto"/>
              <w:ind w:right="85"/>
              <w:jc w:val="center"/>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b/>
                <w:bCs/>
                <w:color w:val="000000" w:themeColor="text1"/>
                <w:sz w:val="16"/>
                <w:szCs w:val="16"/>
                <w:lang w:val="en-US"/>
              </w:rPr>
              <w:t>(1)</w:t>
            </w:r>
          </w:p>
        </w:tc>
        <w:tc>
          <w:tcPr>
            <w:tcW w:w="83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5956A3" w:rsidRPr="007418EB" w:rsidRDefault="005956A3" w:rsidP="005956A3">
            <w:pPr>
              <w:spacing w:after="0" w:line="240" w:lineRule="auto"/>
              <w:ind w:right="85"/>
              <w:jc w:val="center"/>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b/>
                <w:bCs/>
                <w:color w:val="000000" w:themeColor="text1"/>
                <w:sz w:val="16"/>
                <w:szCs w:val="16"/>
                <w:lang w:val="en-US"/>
              </w:rPr>
              <w:t>(2)</w:t>
            </w:r>
          </w:p>
        </w:tc>
        <w:tc>
          <w:tcPr>
            <w:tcW w:w="84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5956A3" w:rsidRPr="007418EB" w:rsidRDefault="005956A3" w:rsidP="005956A3">
            <w:pPr>
              <w:spacing w:after="0" w:line="240" w:lineRule="auto"/>
              <w:ind w:right="85"/>
              <w:jc w:val="center"/>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b/>
                <w:bCs/>
                <w:color w:val="000000" w:themeColor="text1"/>
                <w:sz w:val="16"/>
                <w:szCs w:val="16"/>
                <w:lang w:val="en-US"/>
              </w:rPr>
              <w:t>(1)</w:t>
            </w:r>
          </w:p>
        </w:tc>
        <w:tc>
          <w:tcPr>
            <w:tcW w:w="70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5956A3" w:rsidRPr="007418EB" w:rsidRDefault="005956A3" w:rsidP="005956A3">
            <w:pPr>
              <w:spacing w:after="0" w:line="240" w:lineRule="auto"/>
              <w:ind w:right="85"/>
              <w:jc w:val="center"/>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b/>
                <w:bCs/>
                <w:color w:val="000000" w:themeColor="text1"/>
                <w:sz w:val="16"/>
                <w:szCs w:val="16"/>
                <w:lang w:val="en-US"/>
              </w:rPr>
              <w:t>(2)</w:t>
            </w:r>
          </w:p>
        </w:tc>
        <w:tc>
          <w:tcPr>
            <w:tcW w:w="84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5956A3" w:rsidRPr="007418EB" w:rsidRDefault="005956A3" w:rsidP="005956A3">
            <w:pPr>
              <w:spacing w:after="0" w:line="240" w:lineRule="auto"/>
              <w:ind w:right="85"/>
              <w:jc w:val="center"/>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b/>
                <w:bCs/>
                <w:color w:val="000000" w:themeColor="text1"/>
                <w:sz w:val="16"/>
                <w:szCs w:val="16"/>
                <w:lang w:val="en-US"/>
              </w:rPr>
              <w:t>(1)</w:t>
            </w:r>
          </w:p>
        </w:tc>
        <w:tc>
          <w:tcPr>
            <w:tcW w:w="83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5956A3" w:rsidRPr="007418EB" w:rsidRDefault="005956A3" w:rsidP="005956A3">
            <w:pPr>
              <w:spacing w:after="0" w:line="240" w:lineRule="auto"/>
              <w:ind w:right="85"/>
              <w:jc w:val="center"/>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b/>
                <w:bCs/>
                <w:color w:val="000000" w:themeColor="text1"/>
                <w:sz w:val="16"/>
                <w:szCs w:val="16"/>
                <w:lang w:val="en-US"/>
              </w:rPr>
              <w:t>(2)</w:t>
            </w:r>
          </w:p>
        </w:tc>
        <w:tc>
          <w:tcPr>
            <w:tcW w:w="70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5956A3" w:rsidRPr="007418EB" w:rsidRDefault="005956A3" w:rsidP="005956A3">
            <w:pPr>
              <w:spacing w:after="0" w:line="240" w:lineRule="auto"/>
              <w:ind w:right="85"/>
              <w:jc w:val="center"/>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b/>
                <w:bCs/>
                <w:color w:val="000000" w:themeColor="text1"/>
                <w:sz w:val="16"/>
                <w:szCs w:val="16"/>
                <w:lang w:val="en-US"/>
              </w:rPr>
              <w:t>(1)</w:t>
            </w:r>
          </w:p>
        </w:tc>
        <w:tc>
          <w:tcPr>
            <w:tcW w:w="8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5956A3" w:rsidRPr="007418EB" w:rsidRDefault="005956A3" w:rsidP="005956A3">
            <w:pPr>
              <w:spacing w:after="0" w:line="240" w:lineRule="auto"/>
              <w:ind w:right="85"/>
              <w:jc w:val="center"/>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b/>
                <w:bCs/>
                <w:color w:val="000000" w:themeColor="text1"/>
                <w:sz w:val="16"/>
                <w:szCs w:val="16"/>
                <w:lang w:val="en-US"/>
              </w:rPr>
              <w:t>(2)</w:t>
            </w:r>
          </w:p>
        </w:tc>
      </w:tr>
      <w:tr w:rsidR="007418EB" w:rsidRPr="007418EB" w:rsidTr="005956A3">
        <w:trPr>
          <w:trHeight w:val="549"/>
          <w:jc w:val="center"/>
        </w:trPr>
        <w:tc>
          <w:tcPr>
            <w:tcW w:w="10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6"/>
                <w:szCs w:val="16"/>
                <w:lang w:val="en-US"/>
              </w:rPr>
              <w:t>MV</w:t>
            </w:r>
          </w:p>
        </w:tc>
        <w:tc>
          <w:tcPr>
            <w:tcW w:w="7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-0,029 **</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(-2,58)</w:t>
            </w:r>
          </w:p>
        </w:tc>
        <w:tc>
          <w:tcPr>
            <w:tcW w:w="8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-0,009</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(-0.05)</w:t>
            </w:r>
          </w:p>
        </w:tc>
        <w:tc>
          <w:tcPr>
            <w:tcW w:w="97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-0,1243 ***</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(-17.88)</w:t>
            </w:r>
          </w:p>
        </w:tc>
        <w:tc>
          <w:tcPr>
            <w:tcW w:w="96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-0.0892 ***</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(-5.00)</w:t>
            </w:r>
          </w:p>
        </w:tc>
        <w:tc>
          <w:tcPr>
            <w:tcW w:w="9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-0,2324 ***</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(-5.54)</w:t>
            </w:r>
          </w:p>
        </w:tc>
        <w:tc>
          <w:tcPr>
            <w:tcW w:w="83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0.0143</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(0.41)</w:t>
            </w:r>
          </w:p>
        </w:tc>
        <w:tc>
          <w:tcPr>
            <w:tcW w:w="84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-0.21 ***</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(12.62)</w:t>
            </w:r>
          </w:p>
        </w:tc>
        <w:tc>
          <w:tcPr>
            <w:tcW w:w="70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-0,0179</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(-0.46)</w:t>
            </w:r>
          </w:p>
        </w:tc>
        <w:tc>
          <w:tcPr>
            <w:tcW w:w="84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-0,917 ***</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(-8,12)</w:t>
            </w:r>
          </w:p>
        </w:tc>
        <w:tc>
          <w:tcPr>
            <w:tcW w:w="83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-0.0421 *</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-0,021</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(-0.59)</w:t>
            </w:r>
          </w:p>
        </w:tc>
        <w:tc>
          <w:tcPr>
            <w:tcW w:w="8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0.0264</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(0.43)</w:t>
            </w:r>
          </w:p>
        </w:tc>
      </w:tr>
      <w:tr w:rsidR="007418EB" w:rsidRPr="007418EB" w:rsidTr="005956A3">
        <w:trPr>
          <w:trHeight w:val="557"/>
          <w:jc w:val="center"/>
        </w:trPr>
        <w:tc>
          <w:tcPr>
            <w:tcW w:w="10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6"/>
                <w:szCs w:val="16"/>
                <w:lang w:val="en-US"/>
              </w:rPr>
              <w:t>SKIN</w:t>
            </w:r>
          </w:p>
        </w:tc>
        <w:tc>
          <w:tcPr>
            <w:tcW w:w="7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-0.04</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(-0,73)</w:t>
            </w:r>
          </w:p>
        </w:tc>
        <w:tc>
          <w:tcPr>
            <w:tcW w:w="8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-0,0167</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(-0,12)</w:t>
            </w:r>
          </w:p>
        </w:tc>
        <w:tc>
          <w:tcPr>
            <w:tcW w:w="97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-0,1143 *</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(-1.66)</w:t>
            </w:r>
          </w:p>
        </w:tc>
        <w:tc>
          <w:tcPr>
            <w:tcW w:w="96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.13875</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(0.63)</w:t>
            </w:r>
          </w:p>
        </w:tc>
        <w:tc>
          <w:tcPr>
            <w:tcW w:w="9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-0,07979</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(-1.04)</w:t>
            </w:r>
          </w:p>
        </w:tc>
        <w:tc>
          <w:tcPr>
            <w:tcW w:w="83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-0.1077</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(-0.43)</w:t>
            </w:r>
          </w:p>
        </w:tc>
        <w:tc>
          <w:tcPr>
            <w:tcW w:w="84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-0,293 ***</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(-2,72)</w:t>
            </w:r>
          </w:p>
        </w:tc>
        <w:tc>
          <w:tcPr>
            <w:tcW w:w="70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0.1121</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(0.45)</w:t>
            </w:r>
          </w:p>
        </w:tc>
        <w:tc>
          <w:tcPr>
            <w:tcW w:w="84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0.0205</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(0.26)</w:t>
            </w:r>
          </w:p>
        </w:tc>
        <w:tc>
          <w:tcPr>
            <w:tcW w:w="83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0.234</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(0.12)</w:t>
            </w:r>
          </w:p>
        </w:tc>
        <w:tc>
          <w:tcPr>
            <w:tcW w:w="70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-0,0023</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(-0.01)</w:t>
            </w:r>
          </w:p>
        </w:tc>
        <w:tc>
          <w:tcPr>
            <w:tcW w:w="8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-0,752 *</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(-1.75)</w:t>
            </w:r>
          </w:p>
        </w:tc>
      </w:tr>
      <w:tr w:rsidR="007418EB" w:rsidRPr="007418EB" w:rsidTr="005956A3">
        <w:trPr>
          <w:trHeight w:val="555"/>
          <w:jc w:val="center"/>
        </w:trPr>
        <w:tc>
          <w:tcPr>
            <w:tcW w:w="10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6"/>
                <w:szCs w:val="16"/>
                <w:lang w:val="en-US"/>
              </w:rPr>
              <w:t>MTBV</w:t>
            </w:r>
          </w:p>
        </w:tc>
        <w:tc>
          <w:tcPr>
            <w:tcW w:w="7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0.0034</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(-1,62)</w:t>
            </w:r>
          </w:p>
        </w:tc>
        <w:tc>
          <w:tcPr>
            <w:tcW w:w="8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-0,0085 *</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(-1.85)</w:t>
            </w:r>
          </w:p>
        </w:tc>
        <w:tc>
          <w:tcPr>
            <w:tcW w:w="97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0.0052</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(1.48)</w:t>
            </w:r>
          </w:p>
        </w:tc>
        <w:tc>
          <w:tcPr>
            <w:tcW w:w="96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-0,0219 **</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(-2.02)</w:t>
            </w:r>
          </w:p>
        </w:tc>
        <w:tc>
          <w:tcPr>
            <w:tcW w:w="9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-4.86E-07</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(-0.03)</w:t>
            </w:r>
          </w:p>
        </w:tc>
        <w:tc>
          <w:tcPr>
            <w:tcW w:w="83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-0,000</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(-0.01)</w:t>
            </w:r>
          </w:p>
        </w:tc>
        <w:tc>
          <w:tcPr>
            <w:tcW w:w="84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-0,001 **</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(-2,35)</w:t>
            </w:r>
          </w:p>
        </w:tc>
        <w:tc>
          <w:tcPr>
            <w:tcW w:w="70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-0,003</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(-0.17)</w:t>
            </w:r>
          </w:p>
        </w:tc>
        <w:tc>
          <w:tcPr>
            <w:tcW w:w="84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-0,018 ***</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(-3,91)</w:t>
            </w:r>
          </w:p>
        </w:tc>
        <w:tc>
          <w:tcPr>
            <w:tcW w:w="83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0.0078</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(0.61)</w:t>
            </w:r>
          </w:p>
        </w:tc>
        <w:tc>
          <w:tcPr>
            <w:tcW w:w="70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0.0561</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(1.01)</w:t>
            </w:r>
          </w:p>
        </w:tc>
        <w:tc>
          <w:tcPr>
            <w:tcW w:w="8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0.0701</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(0.88)</w:t>
            </w:r>
          </w:p>
        </w:tc>
      </w:tr>
      <w:tr w:rsidR="007418EB" w:rsidRPr="007418EB" w:rsidTr="005956A3">
        <w:trPr>
          <w:trHeight w:val="563"/>
          <w:jc w:val="center"/>
        </w:trPr>
        <w:tc>
          <w:tcPr>
            <w:tcW w:w="10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6"/>
                <w:szCs w:val="16"/>
                <w:lang w:val="en-US"/>
              </w:rPr>
              <w:t>TR</w:t>
            </w:r>
          </w:p>
        </w:tc>
        <w:tc>
          <w:tcPr>
            <w:tcW w:w="7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0.0016</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(-1,33)</w:t>
            </w:r>
          </w:p>
        </w:tc>
        <w:tc>
          <w:tcPr>
            <w:tcW w:w="8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-0,0055 **</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(-2.01)</w:t>
            </w:r>
          </w:p>
        </w:tc>
        <w:tc>
          <w:tcPr>
            <w:tcW w:w="97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-0,0016 **</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(-2,49)</w:t>
            </w:r>
          </w:p>
        </w:tc>
        <w:tc>
          <w:tcPr>
            <w:tcW w:w="96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8.97E-06</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-0,0055 ***</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(-3,36)</w:t>
            </w:r>
          </w:p>
        </w:tc>
        <w:tc>
          <w:tcPr>
            <w:tcW w:w="83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-0,0002</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(-0.08)</w:t>
            </w:r>
          </w:p>
        </w:tc>
        <w:tc>
          <w:tcPr>
            <w:tcW w:w="84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0.0007</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(0.51)</w:t>
            </w:r>
          </w:p>
        </w:tc>
        <w:tc>
          <w:tcPr>
            <w:tcW w:w="70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-0,002</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(-0.83)</w:t>
            </w:r>
          </w:p>
        </w:tc>
        <w:tc>
          <w:tcPr>
            <w:tcW w:w="84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-0,004 ***</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(-4.97)</w:t>
            </w:r>
          </w:p>
        </w:tc>
        <w:tc>
          <w:tcPr>
            <w:tcW w:w="83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-0,0003</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(-0,14)</w:t>
            </w:r>
          </w:p>
        </w:tc>
        <w:tc>
          <w:tcPr>
            <w:tcW w:w="70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-0,0009</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(-0.52)</w:t>
            </w:r>
          </w:p>
        </w:tc>
        <w:tc>
          <w:tcPr>
            <w:tcW w:w="8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-0,0038</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(-1,23)</w:t>
            </w:r>
          </w:p>
        </w:tc>
      </w:tr>
      <w:tr w:rsidR="007418EB" w:rsidRPr="007418EB" w:rsidTr="005956A3">
        <w:trPr>
          <w:trHeight w:val="553"/>
          <w:jc w:val="center"/>
        </w:trPr>
        <w:tc>
          <w:tcPr>
            <w:tcW w:w="10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6"/>
                <w:szCs w:val="16"/>
                <w:lang w:val="en-US"/>
              </w:rPr>
              <w:t>QR</w:t>
            </w:r>
          </w:p>
        </w:tc>
        <w:tc>
          <w:tcPr>
            <w:tcW w:w="7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-0,0004</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(-0,22)</w:t>
            </w:r>
          </w:p>
        </w:tc>
        <w:tc>
          <w:tcPr>
            <w:tcW w:w="8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0.0014</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(0.28)</w:t>
            </w:r>
          </w:p>
        </w:tc>
        <w:tc>
          <w:tcPr>
            <w:tcW w:w="97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-0,0034 *</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(-1,74)</w:t>
            </w:r>
          </w:p>
        </w:tc>
        <w:tc>
          <w:tcPr>
            <w:tcW w:w="96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-0,0053</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(-0.83)</w:t>
            </w:r>
          </w:p>
        </w:tc>
        <w:tc>
          <w:tcPr>
            <w:tcW w:w="9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0.0002</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(1.05)</w:t>
            </w:r>
          </w:p>
        </w:tc>
        <w:tc>
          <w:tcPr>
            <w:tcW w:w="83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0.0004</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(0.64)</w:t>
            </w:r>
          </w:p>
        </w:tc>
        <w:tc>
          <w:tcPr>
            <w:tcW w:w="84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-0,0011</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(-0.27)</w:t>
            </w:r>
          </w:p>
        </w:tc>
        <w:tc>
          <w:tcPr>
            <w:tcW w:w="70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-0,0102</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(-0.64)</w:t>
            </w:r>
          </w:p>
        </w:tc>
        <w:tc>
          <w:tcPr>
            <w:tcW w:w="84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0.0012</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(0.86)</w:t>
            </w:r>
          </w:p>
        </w:tc>
        <w:tc>
          <w:tcPr>
            <w:tcW w:w="83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0.0031</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(0.58)</w:t>
            </w:r>
          </w:p>
        </w:tc>
        <w:tc>
          <w:tcPr>
            <w:tcW w:w="70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0.0038</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(0.49)</w:t>
            </w:r>
          </w:p>
        </w:tc>
        <w:tc>
          <w:tcPr>
            <w:tcW w:w="8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-0,107 **</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(-1.99)</w:t>
            </w:r>
          </w:p>
        </w:tc>
      </w:tr>
      <w:tr w:rsidR="007418EB" w:rsidRPr="007418EB" w:rsidTr="005956A3">
        <w:trPr>
          <w:trHeight w:val="561"/>
          <w:jc w:val="center"/>
        </w:trPr>
        <w:tc>
          <w:tcPr>
            <w:tcW w:w="10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6"/>
                <w:szCs w:val="16"/>
                <w:lang w:val="en-US"/>
              </w:rPr>
              <w:t>Constant</w:t>
            </w:r>
          </w:p>
        </w:tc>
        <w:tc>
          <w:tcPr>
            <w:tcW w:w="7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1,7099</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(5.39)</w:t>
            </w:r>
          </w:p>
        </w:tc>
        <w:tc>
          <w:tcPr>
            <w:tcW w:w="8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-1,1342</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(-2.07)</w:t>
            </w:r>
          </w:p>
        </w:tc>
        <w:tc>
          <w:tcPr>
            <w:tcW w:w="97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2,9391 ***</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(22,22)</w:t>
            </w:r>
          </w:p>
        </w:tc>
        <w:tc>
          <w:tcPr>
            <w:tcW w:w="96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-2,8621 ***</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(-8.08)</w:t>
            </w:r>
          </w:p>
        </w:tc>
        <w:tc>
          <w:tcPr>
            <w:tcW w:w="9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4,3561 ***</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(7.75)</w:t>
            </w:r>
          </w:p>
        </w:tc>
        <w:tc>
          <w:tcPr>
            <w:tcW w:w="83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-1,3629</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(-1,80)</w:t>
            </w:r>
          </w:p>
        </w:tc>
        <w:tc>
          <w:tcPr>
            <w:tcW w:w="84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4.7799 ***</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(15.61)</w:t>
            </w:r>
          </w:p>
        </w:tc>
        <w:tc>
          <w:tcPr>
            <w:tcW w:w="70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-0,7845</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(-1,13)</w:t>
            </w:r>
          </w:p>
        </w:tc>
        <w:tc>
          <w:tcPr>
            <w:tcW w:w="84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2,6146 ***</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(10.8)</w:t>
            </w:r>
          </w:p>
        </w:tc>
        <w:tc>
          <w:tcPr>
            <w:tcW w:w="83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-0,1818</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(-0.35)</w:t>
            </w:r>
          </w:p>
        </w:tc>
        <w:tc>
          <w:tcPr>
            <w:tcW w:w="70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0,7126</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(0.76)</w:t>
            </w:r>
          </w:p>
        </w:tc>
        <w:tc>
          <w:tcPr>
            <w:tcW w:w="8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-2,0166</w:t>
            </w:r>
          </w:p>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(-1,22)</w:t>
            </w:r>
          </w:p>
        </w:tc>
      </w:tr>
      <w:tr w:rsidR="007418EB" w:rsidRPr="007418EB" w:rsidTr="005956A3">
        <w:trPr>
          <w:trHeight w:val="413"/>
          <w:jc w:val="center"/>
        </w:trPr>
        <w:tc>
          <w:tcPr>
            <w:tcW w:w="10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6"/>
                <w:szCs w:val="16"/>
                <w:lang w:val="en-US"/>
              </w:rPr>
              <w:t>Number of observations</w:t>
            </w:r>
          </w:p>
        </w:tc>
        <w:tc>
          <w:tcPr>
            <w:tcW w:w="1625"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jc w:val="center"/>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2.087</w:t>
            </w:r>
          </w:p>
        </w:tc>
        <w:tc>
          <w:tcPr>
            <w:tcW w:w="194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jc w:val="center"/>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5.349</w:t>
            </w:r>
          </w:p>
        </w:tc>
        <w:tc>
          <w:tcPr>
            <w:tcW w:w="181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jc w:val="center"/>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1,094</w:t>
            </w:r>
          </w:p>
        </w:tc>
        <w:tc>
          <w:tcPr>
            <w:tcW w:w="155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jc w:val="center"/>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2.116</w:t>
            </w:r>
          </w:p>
        </w:tc>
        <w:tc>
          <w:tcPr>
            <w:tcW w:w="1685"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jc w:val="center"/>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3.211</w:t>
            </w:r>
          </w:p>
        </w:tc>
        <w:tc>
          <w:tcPr>
            <w:tcW w:w="153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B1844" w:rsidRPr="007418EB" w:rsidRDefault="00CB1844" w:rsidP="00CB1844">
            <w:pPr>
              <w:spacing w:after="0" w:line="240" w:lineRule="auto"/>
              <w:jc w:val="center"/>
              <w:rPr>
                <w:rFonts w:ascii="Times New Roman" w:eastAsia="Times New Roman" w:hAnsi="Times New Roman" w:cs="Times New Roman"/>
                <w:color w:val="000000" w:themeColor="text1"/>
                <w:sz w:val="24"/>
                <w:szCs w:val="24"/>
                <w:lang w:val="en-US"/>
              </w:rPr>
            </w:pPr>
            <w:r w:rsidRPr="007418EB">
              <w:rPr>
                <w:rFonts w:ascii="Times New Roman" w:eastAsia="Times New Roman" w:hAnsi="Times New Roman" w:cs="Times New Roman"/>
                <w:color w:val="000000" w:themeColor="text1"/>
                <w:sz w:val="15"/>
                <w:szCs w:val="15"/>
                <w:lang w:val="en-US"/>
              </w:rPr>
              <w:t>1,558</w:t>
            </w:r>
          </w:p>
        </w:tc>
      </w:tr>
    </w:tbl>
    <w:p w:rsidR="00924D41" w:rsidRPr="007418EB" w:rsidRDefault="00CB1844" w:rsidP="00CB1844">
      <w:pPr>
        <w:spacing w:after="0" w:line="340" w:lineRule="atLeast"/>
        <w:jc w:val="both"/>
        <w:rPr>
          <w:rFonts w:ascii="Times New Roman" w:eastAsia="Times New Roman" w:hAnsi="Times New Roman" w:cs="Times New Roman"/>
          <w:i/>
          <w:iCs/>
          <w:color w:val="000000" w:themeColor="text1"/>
          <w:sz w:val="20"/>
          <w:szCs w:val="20"/>
          <w:lang w:val="en-US"/>
        </w:rPr>
        <w:sectPr w:rsidR="00924D41" w:rsidRPr="007418EB" w:rsidSect="00495746">
          <w:pgSz w:w="11907" w:h="8391" w:orient="landscape" w:code="11"/>
          <w:pgMar w:top="1134" w:right="1134" w:bottom="1134" w:left="1134" w:header="709" w:footer="709" w:gutter="0"/>
          <w:cols w:space="708"/>
          <w:docGrid w:linePitch="360"/>
        </w:sectPr>
      </w:pPr>
      <w:r w:rsidRPr="007418EB">
        <w:rPr>
          <w:rFonts w:ascii="Times New Roman" w:eastAsia="Times New Roman" w:hAnsi="Times New Roman" w:cs="Times New Roman"/>
          <w:i/>
          <w:iCs/>
          <w:color w:val="000000" w:themeColor="text1"/>
          <w:sz w:val="20"/>
          <w:szCs w:val="20"/>
          <w:lang w:val="en-US"/>
        </w:rPr>
        <w:t>Note: Columns (1) and (2) are the regression results of equation (3.13) and (3.14), respecti</w:t>
      </w:r>
      <w:r w:rsidR="005956A3" w:rsidRPr="007418EB">
        <w:rPr>
          <w:rFonts w:ascii="Times New Roman" w:eastAsia="Times New Roman" w:hAnsi="Times New Roman" w:cs="Times New Roman"/>
          <w:i/>
          <w:iCs/>
          <w:color w:val="000000" w:themeColor="text1"/>
          <w:sz w:val="20"/>
          <w:szCs w:val="20"/>
          <w:lang w:val="en-US"/>
        </w:rPr>
        <w:t xml:space="preserve">vely; z-statistics </w:t>
      </w:r>
      <w:r w:rsidRPr="007418EB">
        <w:rPr>
          <w:rFonts w:ascii="Times New Roman" w:eastAsia="Times New Roman" w:hAnsi="Times New Roman" w:cs="Times New Roman"/>
          <w:i/>
          <w:iCs/>
          <w:color w:val="000000" w:themeColor="text1"/>
          <w:sz w:val="20"/>
          <w:szCs w:val="20"/>
          <w:lang w:val="en-US"/>
        </w:rPr>
        <w:t>are shown in parentheses .</w:t>
      </w:r>
    </w:p>
    <w:p w:rsidR="00CB1844" w:rsidRPr="007418EB" w:rsidRDefault="00CB1844"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b/>
          <w:bCs/>
          <w:color w:val="000000" w:themeColor="text1"/>
          <w:lang w:val="en-US"/>
        </w:rPr>
        <w:lastRenderedPageBreak/>
        <w:t xml:space="preserve">CHAPTER 5. CONCLUSIONS AND </w:t>
      </w:r>
      <w:r w:rsidR="00B3502A" w:rsidRPr="007418EB">
        <w:rPr>
          <w:rFonts w:ascii="Times New Roman" w:eastAsia="Times New Roman" w:hAnsi="Times New Roman" w:cs="Times New Roman"/>
          <w:b/>
          <w:bCs/>
          <w:color w:val="000000" w:themeColor="text1"/>
          <w:lang w:val="en-US"/>
        </w:rPr>
        <w:t xml:space="preserve">POLICY </w:t>
      </w:r>
      <w:r w:rsidRPr="007418EB">
        <w:rPr>
          <w:rFonts w:ascii="Times New Roman" w:eastAsia="Times New Roman" w:hAnsi="Times New Roman" w:cs="Times New Roman"/>
          <w:b/>
          <w:bCs/>
          <w:color w:val="000000" w:themeColor="text1"/>
          <w:lang w:val="en-US"/>
        </w:rPr>
        <w:t>IMPLICATIONS</w:t>
      </w:r>
    </w:p>
    <w:p w:rsidR="00CB1844" w:rsidRPr="007418EB" w:rsidRDefault="00CB1844"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b/>
          <w:bCs/>
          <w:color w:val="000000" w:themeColor="text1"/>
          <w:lang w:val="en-US"/>
        </w:rPr>
        <w:t>5.1 T</w:t>
      </w:r>
      <w:r w:rsidR="00B3502A" w:rsidRPr="007418EB">
        <w:rPr>
          <w:rFonts w:ascii="Times New Roman" w:eastAsia="Times New Roman" w:hAnsi="Times New Roman" w:cs="Times New Roman"/>
          <w:b/>
          <w:bCs/>
          <w:color w:val="000000" w:themeColor="text1"/>
          <w:lang w:val="en-US"/>
        </w:rPr>
        <w:t>he main conclusions of the thesis</w:t>
      </w:r>
    </w:p>
    <w:p w:rsidR="00CB1844" w:rsidRPr="007418EB" w:rsidRDefault="00CB1844"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color w:val="000000" w:themeColor="text1"/>
          <w:lang w:val="en-US"/>
        </w:rPr>
        <w:t xml:space="preserve">For market-level </w:t>
      </w:r>
      <w:r w:rsidR="003A3C9A" w:rsidRPr="007418EB">
        <w:rPr>
          <w:rFonts w:ascii="Times New Roman" w:eastAsia="Times New Roman" w:hAnsi="Times New Roman" w:cs="Times New Roman"/>
          <w:color w:val="000000" w:themeColor="text1"/>
          <w:lang w:val="en-US"/>
        </w:rPr>
        <w:t>exchange rate exposure</w:t>
      </w:r>
      <w:r w:rsidRPr="007418EB">
        <w:rPr>
          <w:rFonts w:ascii="Times New Roman" w:eastAsia="Times New Roman" w:hAnsi="Times New Roman" w:cs="Times New Roman"/>
          <w:color w:val="000000" w:themeColor="text1"/>
          <w:lang w:val="en-US"/>
        </w:rPr>
        <w:t>, the thesis uses the exchange rate fluctuation based on the nominal exchange rate as well as the real exchange rate to eliminate the effects of high inflation in the market</w:t>
      </w:r>
      <w:r w:rsidR="00495746" w:rsidRPr="007418EB">
        <w:rPr>
          <w:rFonts w:ascii="Times New Roman" w:eastAsia="Times New Roman" w:hAnsi="Times New Roman" w:cs="Times New Roman"/>
          <w:color w:val="000000" w:themeColor="text1"/>
          <w:lang w:val="en-US"/>
        </w:rPr>
        <w:t>s of Southeast Asian countries</w:t>
      </w:r>
      <w:r w:rsidRPr="007418EB">
        <w:rPr>
          <w:rFonts w:ascii="Times New Roman" w:eastAsia="Times New Roman" w:hAnsi="Times New Roman" w:cs="Times New Roman"/>
          <w:color w:val="000000" w:themeColor="text1"/>
          <w:lang w:val="en-US"/>
        </w:rPr>
        <w:t>. Besides, the thesis also considers the intervention of the central bank to successful</w:t>
      </w:r>
      <w:r w:rsidR="00B3502A" w:rsidRPr="007418EB">
        <w:rPr>
          <w:rFonts w:ascii="Times New Roman" w:eastAsia="Times New Roman" w:hAnsi="Times New Roman" w:cs="Times New Roman"/>
          <w:color w:val="000000" w:themeColor="text1"/>
          <w:lang w:val="en-US"/>
        </w:rPr>
        <w:t>ly prevent exchange rate risks</w:t>
      </w:r>
      <w:r w:rsidRPr="007418EB">
        <w:rPr>
          <w:rFonts w:ascii="Times New Roman" w:eastAsia="Times New Roman" w:hAnsi="Times New Roman" w:cs="Times New Roman"/>
          <w:color w:val="000000" w:themeColor="text1"/>
          <w:lang w:val="en-US"/>
        </w:rPr>
        <w:t>.</w:t>
      </w:r>
    </w:p>
    <w:p w:rsidR="00CB1844" w:rsidRPr="007418EB" w:rsidRDefault="00CB1844"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color w:val="000000" w:themeColor="text1"/>
          <w:lang w:val="en-US"/>
        </w:rPr>
        <w:t>The author</w:t>
      </w:r>
      <w:r w:rsidR="00B1684C" w:rsidRPr="007418EB">
        <w:rPr>
          <w:rFonts w:ascii="Times New Roman" w:eastAsia="Times New Roman" w:hAnsi="Times New Roman" w:cs="Times New Roman"/>
          <w:color w:val="000000" w:themeColor="text1"/>
          <w:lang w:val="en-US"/>
        </w:rPr>
        <w:t>’</w:t>
      </w:r>
      <w:r w:rsidRPr="007418EB">
        <w:rPr>
          <w:rFonts w:ascii="Times New Roman" w:eastAsia="Times New Roman" w:hAnsi="Times New Roman" w:cs="Times New Roman"/>
          <w:color w:val="000000" w:themeColor="text1"/>
          <w:lang w:val="en-US"/>
        </w:rPr>
        <w:t xml:space="preserve">s empirical results show that there exists widespread exchange rate risk in Southeast Asian markets. More specifically, despite the positive intervention of the central bank in the period of 2010-2017 through fluctuations in foreign exchange reserves, there still appears the </w:t>
      </w:r>
      <w:r w:rsidR="003A3C9A" w:rsidRPr="007418EB">
        <w:rPr>
          <w:rFonts w:ascii="Times New Roman" w:eastAsia="Times New Roman" w:hAnsi="Times New Roman" w:cs="Times New Roman"/>
          <w:color w:val="000000" w:themeColor="text1"/>
          <w:lang w:val="en-US"/>
        </w:rPr>
        <w:t>exchange rate exposure</w:t>
      </w:r>
      <w:r w:rsidRPr="007418EB">
        <w:rPr>
          <w:rFonts w:ascii="Times New Roman" w:eastAsia="Times New Roman" w:hAnsi="Times New Roman" w:cs="Times New Roman"/>
          <w:color w:val="000000" w:themeColor="text1"/>
          <w:lang w:val="en-US"/>
        </w:rPr>
        <w:t xml:space="preserve">. Domestic stocks fell when the value of local currency depreciated against the US dollar. This is consistent with the "dollarization of debt" phenomenon as well as the continuous increase in net foreign assets in emerging markets as mentioned in previous studies. A notable point from the regression results is the appearance of asymmetric </w:t>
      </w:r>
      <w:r w:rsidR="003A3C9A" w:rsidRPr="007418EB">
        <w:rPr>
          <w:rFonts w:ascii="Times New Roman" w:eastAsia="Times New Roman" w:hAnsi="Times New Roman" w:cs="Times New Roman"/>
          <w:color w:val="000000" w:themeColor="text1"/>
          <w:lang w:val="en-US"/>
        </w:rPr>
        <w:t>exchange rate exposure</w:t>
      </w:r>
      <w:r w:rsidRPr="007418EB">
        <w:rPr>
          <w:rFonts w:ascii="Times New Roman" w:eastAsia="Times New Roman" w:hAnsi="Times New Roman" w:cs="Times New Roman"/>
          <w:color w:val="000000" w:themeColor="text1"/>
          <w:lang w:val="en-US"/>
        </w:rPr>
        <w:t>, as the net export position of Southeast Asian countries will be positively affected by the real depr</w:t>
      </w:r>
      <w:r w:rsidR="00B3502A" w:rsidRPr="007418EB">
        <w:rPr>
          <w:rFonts w:ascii="Times New Roman" w:eastAsia="Times New Roman" w:hAnsi="Times New Roman" w:cs="Times New Roman"/>
          <w:color w:val="000000" w:themeColor="text1"/>
          <w:lang w:val="en-US"/>
        </w:rPr>
        <w:t>eciation of the local currency</w:t>
      </w:r>
      <w:r w:rsidRPr="007418EB">
        <w:rPr>
          <w:rFonts w:ascii="Times New Roman" w:eastAsia="Times New Roman" w:hAnsi="Times New Roman" w:cs="Times New Roman"/>
          <w:color w:val="000000" w:themeColor="text1"/>
          <w:lang w:val="en-US"/>
        </w:rPr>
        <w:t>. At the same time, the downward trend of local currency prices also motivated enterprises to find a balance to reduce foreign currency pressure on imports from increasing trade in the region.</w:t>
      </w:r>
    </w:p>
    <w:p w:rsidR="00CB1844" w:rsidRPr="007418EB" w:rsidRDefault="00B3502A"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color w:val="000000" w:themeColor="text1"/>
          <w:lang w:val="en-US"/>
        </w:rPr>
        <w:t>At the firm</w:t>
      </w:r>
      <w:r w:rsidR="00CB1844" w:rsidRPr="007418EB">
        <w:rPr>
          <w:rFonts w:ascii="Times New Roman" w:eastAsia="Times New Roman" w:hAnsi="Times New Roman" w:cs="Times New Roman"/>
          <w:color w:val="000000" w:themeColor="text1"/>
          <w:lang w:val="en-US"/>
        </w:rPr>
        <w:t xml:space="preserve"> level, the dissertation tests the </w:t>
      </w:r>
      <w:r w:rsidR="003A3C9A" w:rsidRPr="007418EB">
        <w:rPr>
          <w:rFonts w:ascii="Times New Roman" w:eastAsia="Times New Roman" w:hAnsi="Times New Roman" w:cs="Times New Roman"/>
          <w:color w:val="000000" w:themeColor="text1"/>
          <w:lang w:val="en-US"/>
        </w:rPr>
        <w:t>exchange rate exposure</w:t>
      </w:r>
      <w:r w:rsidR="00CB1844" w:rsidRPr="007418EB">
        <w:rPr>
          <w:rFonts w:ascii="Times New Roman" w:eastAsia="Times New Roman" w:hAnsi="Times New Roman" w:cs="Times New Roman"/>
          <w:color w:val="000000" w:themeColor="text1"/>
          <w:lang w:val="en-US"/>
        </w:rPr>
        <w:t xml:space="preserve"> of 2,166 companies in the sample for the period of 2010-2017 as well as each year separately with data on daily frequency. The results show a significant presence of </w:t>
      </w:r>
      <w:r w:rsidR="003A3C9A" w:rsidRPr="007418EB">
        <w:rPr>
          <w:rFonts w:ascii="Times New Roman" w:eastAsia="Times New Roman" w:hAnsi="Times New Roman" w:cs="Times New Roman"/>
          <w:color w:val="000000" w:themeColor="text1"/>
          <w:lang w:val="en-US"/>
        </w:rPr>
        <w:t>exchange rate exposure</w:t>
      </w:r>
      <w:r w:rsidR="00CB1844" w:rsidRPr="007418EB">
        <w:rPr>
          <w:rFonts w:ascii="Times New Roman" w:eastAsia="Times New Roman" w:hAnsi="Times New Roman" w:cs="Times New Roman"/>
          <w:color w:val="000000" w:themeColor="text1"/>
          <w:lang w:val="en-US"/>
        </w:rPr>
        <w:t xml:space="preserve"> over the period as well as the annual time frame. In addition, the identification of factors </w:t>
      </w:r>
      <w:r w:rsidR="00CB1844" w:rsidRPr="007418EB">
        <w:rPr>
          <w:rFonts w:ascii="Times New Roman" w:eastAsia="Times New Roman" w:hAnsi="Times New Roman" w:cs="Times New Roman"/>
          <w:color w:val="000000" w:themeColor="text1"/>
          <w:lang w:val="en-US"/>
        </w:rPr>
        <w:lastRenderedPageBreak/>
        <w:t xml:space="preserve">affecting </w:t>
      </w:r>
      <w:r w:rsidR="003A3C9A" w:rsidRPr="007418EB">
        <w:rPr>
          <w:rFonts w:ascii="Times New Roman" w:eastAsia="Times New Roman" w:hAnsi="Times New Roman" w:cs="Times New Roman"/>
          <w:color w:val="000000" w:themeColor="text1"/>
          <w:lang w:val="en-US"/>
        </w:rPr>
        <w:t>exchange rate exposure</w:t>
      </w:r>
      <w:r w:rsidR="00CB1844" w:rsidRPr="007418EB">
        <w:rPr>
          <w:rFonts w:ascii="Times New Roman" w:eastAsia="Times New Roman" w:hAnsi="Times New Roman" w:cs="Times New Roman"/>
          <w:color w:val="000000" w:themeColor="text1"/>
          <w:lang w:val="en-US"/>
        </w:rPr>
        <w:t xml:space="preserve"> in theory as well as testing by financial variables also shows the level of international business participation, the market value </w:t>
      </w:r>
      <w:r w:rsidRPr="007418EB">
        <w:rPr>
          <w:rFonts w:ascii="Times New Roman" w:eastAsia="Times New Roman" w:hAnsi="Times New Roman" w:cs="Times New Roman"/>
          <w:color w:val="000000" w:themeColor="text1"/>
          <w:lang w:val="en-US"/>
        </w:rPr>
        <w:t>of the company, the debt ratio</w:t>
      </w:r>
      <w:r w:rsidR="00CB1844" w:rsidRPr="007418EB">
        <w:rPr>
          <w:rFonts w:ascii="Times New Roman" w:eastAsia="Times New Roman" w:hAnsi="Times New Roman" w:cs="Times New Roman"/>
          <w:color w:val="000000" w:themeColor="text1"/>
          <w:lang w:val="en-US"/>
        </w:rPr>
        <w:t>, market price-to-book ratio, stock liquidi</w:t>
      </w:r>
      <w:r w:rsidRPr="007418EB">
        <w:rPr>
          <w:rFonts w:ascii="Times New Roman" w:eastAsia="Times New Roman" w:hAnsi="Times New Roman" w:cs="Times New Roman"/>
          <w:color w:val="000000" w:themeColor="text1"/>
          <w:lang w:val="en-US"/>
        </w:rPr>
        <w:t>ty as well as short-term ratio</w:t>
      </w:r>
      <w:r w:rsidR="00CB1844" w:rsidRPr="007418EB">
        <w:rPr>
          <w:rFonts w:ascii="Times New Roman" w:eastAsia="Times New Roman" w:hAnsi="Times New Roman" w:cs="Times New Roman"/>
          <w:color w:val="000000" w:themeColor="text1"/>
          <w:lang w:val="en-US"/>
        </w:rPr>
        <w:t xml:space="preserve"> of the company are factors that contribute to the extent and ability of the company to fa</w:t>
      </w:r>
      <w:r w:rsidRPr="007418EB">
        <w:rPr>
          <w:rFonts w:ascii="Times New Roman" w:eastAsia="Times New Roman" w:hAnsi="Times New Roman" w:cs="Times New Roman"/>
          <w:color w:val="000000" w:themeColor="text1"/>
          <w:lang w:val="en-US"/>
        </w:rPr>
        <w:t>ce exchange rate risk exposure</w:t>
      </w:r>
      <w:r w:rsidR="00CB1844" w:rsidRPr="007418EB">
        <w:rPr>
          <w:rFonts w:ascii="Times New Roman" w:eastAsia="Times New Roman" w:hAnsi="Times New Roman" w:cs="Times New Roman"/>
          <w:color w:val="000000" w:themeColor="text1"/>
          <w:lang w:val="en-US"/>
        </w:rPr>
        <w:t>.</w:t>
      </w:r>
    </w:p>
    <w:p w:rsidR="00CB1844" w:rsidRPr="007418EB" w:rsidRDefault="00CB1844"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b/>
          <w:bCs/>
          <w:color w:val="000000" w:themeColor="text1"/>
          <w:lang w:val="en-US"/>
        </w:rPr>
        <w:t>5.2 Policy implications</w:t>
      </w:r>
    </w:p>
    <w:p w:rsidR="00CB1844" w:rsidRPr="007418EB" w:rsidRDefault="00CB1844" w:rsidP="009740CC">
      <w:pPr>
        <w:spacing w:after="0" w:line="340" w:lineRule="atLeast"/>
        <w:ind w:left="426" w:hanging="284"/>
        <w:jc w:val="both"/>
        <w:rPr>
          <w:rFonts w:ascii="Times New Roman" w:eastAsia="Times New Roman" w:hAnsi="Times New Roman" w:cs="Times New Roman"/>
          <w:color w:val="000000" w:themeColor="text1"/>
          <w:lang w:val="en-US"/>
        </w:rPr>
      </w:pPr>
      <w:r w:rsidRPr="007418EB">
        <w:rPr>
          <w:rFonts w:ascii="Calibri" w:eastAsia="Times New Roman" w:hAnsi="Calibri" w:cs="Calibri"/>
          <w:color w:val="000000" w:themeColor="text1"/>
          <w:lang w:val="en-US"/>
        </w:rPr>
        <w:t>- </w:t>
      </w:r>
      <w:r w:rsidRPr="007418EB">
        <w:rPr>
          <w:rFonts w:ascii="Times New Roman" w:eastAsia="Times New Roman" w:hAnsi="Times New Roman" w:cs="Times New Roman"/>
          <w:color w:val="000000" w:themeColor="text1"/>
          <w:lang w:val="en-US"/>
        </w:rPr>
        <w:t>Developing the domestic bond market</w:t>
      </w:r>
      <w:r w:rsidR="009740CC" w:rsidRPr="007418EB">
        <w:rPr>
          <w:rFonts w:ascii="Times New Roman" w:eastAsia="Times New Roman" w:hAnsi="Times New Roman" w:cs="Times New Roman"/>
          <w:color w:val="000000" w:themeColor="text1"/>
          <w:lang w:val="en-US"/>
        </w:rPr>
        <w:t>.</w:t>
      </w:r>
    </w:p>
    <w:p w:rsidR="00CB1844" w:rsidRPr="007418EB" w:rsidRDefault="00CB1844" w:rsidP="009740CC">
      <w:pPr>
        <w:spacing w:after="0" w:line="340" w:lineRule="atLeast"/>
        <w:ind w:left="426" w:hanging="284"/>
        <w:jc w:val="both"/>
        <w:rPr>
          <w:rFonts w:ascii="Times New Roman" w:eastAsia="Times New Roman" w:hAnsi="Times New Roman" w:cs="Times New Roman"/>
          <w:color w:val="000000" w:themeColor="text1"/>
          <w:lang w:val="en-US"/>
        </w:rPr>
      </w:pPr>
      <w:r w:rsidRPr="007418EB">
        <w:rPr>
          <w:rFonts w:ascii="Calibri" w:eastAsia="Times New Roman" w:hAnsi="Calibri" w:cs="Calibri"/>
          <w:color w:val="000000" w:themeColor="text1"/>
          <w:lang w:val="en-US"/>
        </w:rPr>
        <w:t>- </w:t>
      </w:r>
      <w:r w:rsidRPr="007418EB">
        <w:rPr>
          <w:rFonts w:ascii="Times New Roman" w:eastAsia="Times New Roman" w:hAnsi="Times New Roman" w:cs="Times New Roman"/>
          <w:color w:val="000000" w:themeColor="text1"/>
          <w:lang w:val="en-US"/>
        </w:rPr>
        <w:t>Strengthening regional foreign exchange reserve fund</w:t>
      </w:r>
      <w:r w:rsidR="009740CC" w:rsidRPr="007418EB">
        <w:rPr>
          <w:rFonts w:ascii="Times New Roman" w:eastAsia="Times New Roman" w:hAnsi="Times New Roman" w:cs="Times New Roman"/>
          <w:color w:val="000000" w:themeColor="text1"/>
          <w:lang w:val="en-US"/>
        </w:rPr>
        <w:t>.</w:t>
      </w:r>
    </w:p>
    <w:p w:rsidR="00CB1844" w:rsidRPr="007418EB" w:rsidRDefault="00CB1844" w:rsidP="009740CC">
      <w:pPr>
        <w:spacing w:after="0" w:line="340" w:lineRule="atLeast"/>
        <w:ind w:left="426" w:hanging="284"/>
        <w:jc w:val="both"/>
        <w:rPr>
          <w:rFonts w:ascii="Times New Roman" w:eastAsia="Times New Roman" w:hAnsi="Times New Roman" w:cs="Times New Roman"/>
          <w:color w:val="000000" w:themeColor="text1"/>
          <w:lang w:val="en-US"/>
        </w:rPr>
      </w:pPr>
      <w:r w:rsidRPr="007418EB">
        <w:rPr>
          <w:rFonts w:ascii="Calibri" w:eastAsia="Times New Roman" w:hAnsi="Calibri" w:cs="Calibri"/>
          <w:color w:val="000000" w:themeColor="text1"/>
          <w:lang w:val="en-US"/>
        </w:rPr>
        <w:t>- </w:t>
      </w:r>
      <w:r w:rsidR="00625EE7" w:rsidRPr="007418EB">
        <w:rPr>
          <w:rFonts w:ascii="Times New Roman" w:eastAsia="Times New Roman" w:hAnsi="Times New Roman" w:cs="Times New Roman"/>
          <w:color w:val="000000" w:themeColor="text1"/>
          <w:lang w:val="en-US"/>
        </w:rPr>
        <w:t>Increasing intra-regional trade</w:t>
      </w:r>
      <w:r w:rsidR="009740CC" w:rsidRPr="007418EB">
        <w:rPr>
          <w:rFonts w:ascii="Times New Roman" w:eastAsia="Times New Roman" w:hAnsi="Times New Roman" w:cs="Times New Roman"/>
          <w:color w:val="000000" w:themeColor="text1"/>
          <w:lang w:val="en-US"/>
        </w:rPr>
        <w:t>.</w:t>
      </w:r>
    </w:p>
    <w:p w:rsidR="00CB1844" w:rsidRPr="007418EB" w:rsidRDefault="00CB1844" w:rsidP="009740CC">
      <w:pPr>
        <w:spacing w:after="0" w:line="340" w:lineRule="atLeast"/>
        <w:ind w:left="426" w:hanging="284"/>
        <w:jc w:val="both"/>
        <w:rPr>
          <w:rFonts w:ascii="Times New Roman" w:eastAsia="Times New Roman" w:hAnsi="Times New Roman" w:cs="Times New Roman"/>
          <w:color w:val="000000" w:themeColor="text1"/>
          <w:lang w:val="en-US"/>
        </w:rPr>
      </w:pPr>
      <w:r w:rsidRPr="007418EB">
        <w:rPr>
          <w:rFonts w:ascii="Calibri" w:eastAsia="Times New Roman" w:hAnsi="Calibri" w:cs="Calibri"/>
          <w:color w:val="000000" w:themeColor="text1"/>
          <w:lang w:val="en-US"/>
        </w:rPr>
        <w:t>- </w:t>
      </w:r>
      <w:r w:rsidRPr="007418EB">
        <w:rPr>
          <w:rFonts w:ascii="Times New Roman" w:eastAsia="Times New Roman" w:hAnsi="Times New Roman" w:cs="Times New Roman"/>
          <w:color w:val="000000" w:themeColor="text1"/>
          <w:lang w:val="en-US"/>
        </w:rPr>
        <w:t>Develop the currency derivatives market</w:t>
      </w:r>
      <w:r w:rsidR="009740CC" w:rsidRPr="007418EB">
        <w:rPr>
          <w:rFonts w:ascii="Times New Roman" w:eastAsia="Times New Roman" w:hAnsi="Times New Roman" w:cs="Times New Roman"/>
          <w:color w:val="000000" w:themeColor="text1"/>
          <w:lang w:val="en-US"/>
        </w:rPr>
        <w:t>.</w:t>
      </w:r>
    </w:p>
    <w:p w:rsidR="00CB1844" w:rsidRPr="007418EB" w:rsidRDefault="00CB1844"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b/>
          <w:bCs/>
          <w:color w:val="000000" w:themeColor="text1"/>
          <w:lang w:val="en-US"/>
        </w:rPr>
        <w:t>5.3 Limitations of the thesis</w:t>
      </w:r>
    </w:p>
    <w:p w:rsidR="00CB1844" w:rsidRPr="007418EB" w:rsidRDefault="00CB1844" w:rsidP="00CB1844">
      <w:pPr>
        <w:spacing w:after="0" w:line="340" w:lineRule="atLeast"/>
        <w:jc w:val="both"/>
        <w:rPr>
          <w:rFonts w:ascii="Times New Roman" w:eastAsia="Times New Roman" w:hAnsi="Times New Roman" w:cs="Times New Roman"/>
          <w:color w:val="000000" w:themeColor="text1"/>
          <w:sz w:val="27"/>
          <w:szCs w:val="27"/>
          <w:lang w:val="en-US"/>
        </w:rPr>
      </w:pPr>
      <w:r w:rsidRPr="007418EB">
        <w:rPr>
          <w:rFonts w:ascii="Times New Roman" w:eastAsia="Times New Roman" w:hAnsi="Times New Roman" w:cs="Times New Roman"/>
          <w:color w:val="000000" w:themeColor="text1"/>
          <w:lang w:val="en-US"/>
        </w:rPr>
        <w:t xml:space="preserve">In terms of data, due to limited data sources at the micro level of listed companies in countries, the study only identifies the factors affecting </w:t>
      </w:r>
      <w:r w:rsidR="003A3C9A" w:rsidRPr="007418EB">
        <w:rPr>
          <w:rFonts w:ascii="Times New Roman" w:eastAsia="Times New Roman" w:hAnsi="Times New Roman" w:cs="Times New Roman"/>
          <w:color w:val="000000" w:themeColor="text1"/>
          <w:lang w:val="en-US"/>
        </w:rPr>
        <w:t>exchange rate exposure</w:t>
      </w:r>
      <w:r w:rsidRPr="007418EB">
        <w:rPr>
          <w:rFonts w:ascii="Times New Roman" w:eastAsia="Times New Roman" w:hAnsi="Times New Roman" w:cs="Times New Roman"/>
          <w:color w:val="000000" w:themeColor="text1"/>
          <w:lang w:val="en-US"/>
        </w:rPr>
        <w:t xml:space="preserve"> by financial variables without considering </w:t>
      </w:r>
      <w:r w:rsidR="00A320BE" w:rsidRPr="007418EB">
        <w:rPr>
          <w:rFonts w:ascii="Times New Roman" w:eastAsia="Times New Roman" w:hAnsi="Times New Roman" w:cs="Times New Roman"/>
          <w:color w:val="000000" w:themeColor="text1"/>
          <w:lang w:val="en-US"/>
        </w:rPr>
        <w:t>international business characteristics</w:t>
      </w:r>
      <w:r w:rsidRPr="007418EB">
        <w:rPr>
          <w:rFonts w:ascii="Times New Roman" w:eastAsia="Times New Roman" w:hAnsi="Times New Roman" w:cs="Times New Roman"/>
          <w:color w:val="000000" w:themeColor="text1"/>
          <w:lang w:val="en-US"/>
        </w:rPr>
        <w:t xml:space="preserve">, ownership structures of foreign investors or the use of derivatives. In addition, in order to unify the identification of </w:t>
      </w:r>
      <w:r w:rsidR="003A3C9A" w:rsidRPr="007418EB">
        <w:rPr>
          <w:rFonts w:ascii="Times New Roman" w:eastAsia="Times New Roman" w:hAnsi="Times New Roman" w:cs="Times New Roman"/>
          <w:color w:val="000000" w:themeColor="text1"/>
          <w:lang w:val="en-US"/>
        </w:rPr>
        <w:t>exchange rate exposure</w:t>
      </w:r>
      <w:r w:rsidRPr="007418EB">
        <w:rPr>
          <w:rFonts w:ascii="Times New Roman" w:eastAsia="Times New Roman" w:hAnsi="Times New Roman" w:cs="Times New Roman"/>
          <w:color w:val="000000" w:themeColor="text1"/>
          <w:lang w:val="en-US"/>
        </w:rPr>
        <w:t xml:space="preserve"> at the </w:t>
      </w:r>
      <w:r w:rsidR="00A320BE" w:rsidRPr="007418EB">
        <w:rPr>
          <w:rFonts w:ascii="Times New Roman" w:eastAsia="Times New Roman" w:hAnsi="Times New Roman" w:cs="Times New Roman"/>
          <w:color w:val="000000" w:themeColor="text1"/>
          <w:lang w:val="en-US"/>
        </w:rPr>
        <w:t>firm</w:t>
      </w:r>
      <w:r w:rsidRPr="007418EB">
        <w:rPr>
          <w:rFonts w:ascii="Times New Roman" w:eastAsia="Times New Roman" w:hAnsi="Times New Roman" w:cs="Times New Roman"/>
          <w:color w:val="000000" w:themeColor="text1"/>
          <w:lang w:val="en-US"/>
        </w:rPr>
        <w:t xml:space="preserve"> and market levels, as well as addressing the research objectives of testing the factors affecting </w:t>
      </w:r>
      <w:r w:rsidR="003A3C9A" w:rsidRPr="007418EB">
        <w:rPr>
          <w:rFonts w:ascii="Times New Roman" w:eastAsia="Times New Roman" w:hAnsi="Times New Roman" w:cs="Times New Roman"/>
          <w:color w:val="000000" w:themeColor="text1"/>
          <w:lang w:val="en-US"/>
        </w:rPr>
        <w:t>exchange rate exposure</w:t>
      </w:r>
      <w:r w:rsidRPr="007418EB">
        <w:rPr>
          <w:rFonts w:ascii="Times New Roman" w:eastAsia="Times New Roman" w:hAnsi="Times New Roman" w:cs="Times New Roman"/>
          <w:color w:val="000000" w:themeColor="text1"/>
          <w:lang w:val="en-US"/>
        </w:rPr>
        <w:t xml:space="preserve">, </w:t>
      </w:r>
      <w:r w:rsidR="00A320BE" w:rsidRPr="007418EB">
        <w:rPr>
          <w:rFonts w:ascii="Times New Roman" w:eastAsia="Times New Roman" w:hAnsi="Times New Roman" w:cs="Times New Roman"/>
          <w:color w:val="000000" w:themeColor="text1"/>
          <w:lang w:val="en-US"/>
        </w:rPr>
        <w:t>this study</w:t>
      </w:r>
      <w:r w:rsidRPr="007418EB">
        <w:rPr>
          <w:rFonts w:ascii="Times New Roman" w:eastAsia="Times New Roman" w:hAnsi="Times New Roman" w:cs="Times New Roman"/>
          <w:color w:val="000000" w:themeColor="text1"/>
          <w:lang w:val="en-US"/>
        </w:rPr>
        <w:t xml:space="preserve"> has used the indirect method which is the capital market method, so it has not been able to evaluate the </w:t>
      </w:r>
      <w:r w:rsidR="003A3C9A" w:rsidRPr="007418EB">
        <w:rPr>
          <w:rFonts w:ascii="Times New Roman" w:eastAsia="Times New Roman" w:hAnsi="Times New Roman" w:cs="Times New Roman"/>
          <w:color w:val="000000" w:themeColor="text1"/>
          <w:lang w:val="en-US"/>
        </w:rPr>
        <w:t>exchange rate exposure</w:t>
      </w:r>
      <w:r w:rsidRPr="007418EB">
        <w:rPr>
          <w:rFonts w:ascii="Times New Roman" w:eastAsia="Times New Roman" w:hAnsi="Times New Roman" w:cs="Times New Roman"/>
          <w:color w:val="000000" w:themeColor="text1"/>
          <w:lang w:val="en-US"/>
        </w:rPr>
        <w:t xml:space="preserve"> by the direct method - the cash flow method.</w:t>
      </w:r>
    </w:p>
    <w:p w:rsidR="00780488" w:rsidRPr="007418EB" w:rsidRDefault="00780488" w:rsidP="00B8726C">
      <w:pPr>
        <w:spacing w:after="0" w:line="340" w:lineRule="exact"/>
        <w:jc w:val="both"/>
        <w:rPr>
          <w:rFonts w:ascii="Times New Roman" w:hAnsi="Times New Roman" w:cs="Times New Roman"/>
          <w:color w:val="000000" w:themeColor="text1"/>
        </w:rPr>
      </w:pPr>
    </w:p>
    <w:p w:rsidR="00FB5374" w:rsidRPr="007418EB" w:rsidRDefault="00FB5374" w:rsidP="00F32921">
      <w:pPr>
        <w:spacing w:after="0" w:line="340" w:lineRule="exact"/>
        <w:ind w:firstLine="284"/>
        <w:jc w:val="both"/>
        <w:rPr>
          <w:rFonts w:ascii="Times New Roman" w:hAnsi="Times New Roman" w:cs="Times New Roman"/>
          <w:color w:val="000000" w:themeColor="text1"/>
        </w:rPr>
        <w:sectPr w:rsidR="00FB5374" w:rsidRPr="007418EB" w:rsidSect="00821E83">
          <w:pgSz w:w="8391" w:h="11907" w:code="11"/>
          <w:pgMar w:top="1134" w:right="1134" w:bottom="1134" w:left="1134" w:header="709" w:footer="709" w:gutter="0"/>
          <w:cols w:space="708"/>
          <w:docGrid w:linePitch="360"/>
        </w:sectPr>
      </w:pPr>
      <w:bookmarkStart w:id="17" w:name="_Toc26691715"/>
    </w:p>
    <w:p w:rsidR="00B8726C" w:rsidRPr="007418EB" w:rsidRDefault="00B8726C" w:rsidP="000A1D6C">
      <w:pPr>
        <w:spacing w:after="0" w:line="340" w:lineRule="exact"/>
        <w:jc w:val="center"/>
        <w:rPr>
          <w:rFonts w:ascii="Times New Roman" w:hAnsi="Times New Roman" w:cs="Times New Roman"/>
          <w:b/>
          <w:color w:val="000000" w:themeColor="text1"/>
        </w:rPr>
      </w:pPr>
      <w:r w:rsidRPr="007418EB">
        <w:rPr>
          <w:rFonts w:ascii="Times New Roman" w:hAnsi="Times New Roman" w:cs="Times New Roman"/>
          <w:b/>
          <w:color w:val="000000" w:themeColor="text1"/>
        </w:rPr>
        <w:lastRenderedPageBreak/>
        <w:t>LIST OF RESEARCH WORKS</w:t>
      </w:r>
    </w:p>
    <w:bookmarkEnd w:id="17"/>
    <w:p w:rsidR="00477B67" w:rsidRPr="007418EB" w:rsidRDefault="00477B67" w:rsidP="002C462B">
      <w:pPr>
        <w:spacing w:before="120" w:after="0" w:line="276" w:lineRule="auto"/>
        <w:jc w:val="both"/>
        <w:rPr>
          <w:rFonts w:ascii="Times New Roman" w:hAnsi="Times New Roman" w:cs="Times New Roman"/>
          <w:b/>
          <w:color w:val="000000" w:themeColor="text1"/>
        </w:rPr>
      </w:pPr>
      <w:r w:rsidRPr="007418EB">
        <w:rPr>
          <w:rFonts w:ascii="Times New Roman" w:hAnsi="Times New Roman" w:cs="Times New Roman"/>
          <w:b/>
          <w:color w:val="000000" w:themeColor="text1"/>
        </w:rPr>
        <w:t>Science Press</w:t>
      </w:r>
      <w:r w:rsidR="00832F7A" w:rsidRPr="007418EB">
        <w:rPr>
          <w:rFonts w:ascii="Times New Roman" w:hAnsi="Times New Roman" w:cs="Times New Roman"/>
          <w:b/>
          <w:color w:val="000000" w:themeColor="text1"/>
        </w:rPr>
        <w:t>:</w:t>
      </w:r>
    </w:p>
    <w:p w:rsidR="0077171F" w:rsidRPr="000778BA" w:rsidRDefault="0077171F" w:rsidP="00D21323">
      <w:pPr>
        <w:pStyle w:val="Bibliography"/>
        <w:numPr>
          <w:ilvl w:val="0"/>
          <w:numId w:val="9"/>
        </w:numPr>
        <w:spacing w:before="120" w:after="0" w:line="276" w:lineRule="auto"/>
        <w:jc w:val="both"/>
        <w:rPr>
          <w:rFonts w:ascii="Times New Roman" w:hAnsi="Times New Roman" w:cs="Times New Roman"/>
          <w:noProof/>
        </w:rPr>
      </w:pPr>
      <w:r w:rsidRPr="000778BA">
        <w:rPr>
          <w:rFonts w:ascii="Times New Roman" w:hAnsi="Times New Roman" w:cs="Times New Roman"/>
        </w:rPr>
        <w:t xml:space="preserve">Lê Thị Hồng Minh &amp; Huỳnh Thị Cẩm Hà (2015), </w:t>
      </w:r>
      <w:r w:rsidRPr="000778BA">
        <w:rPr>
          <w:rFonts w:ascii="Times New Roman" w:hAnsi="Times New Roman" w:cs="Times New Roman"/>
          <w:noProof/>
          <w:lang w:val="vi-VN"/>
        </w:rPr>
        <w:t>Độ nhạy cảm tỷ giá bất cân xứng nghiên cứu tại các nước Đông Nam Á</w:t>
      </w:r>
      <w:r w:rsidRPr="000778BA">
        <w:rPr>
          <w:rFonts w:ascii="Times New Roman" w:hAnsi="Times New Roman" w:cs="Times New Roman"/>
          <w:noProof/>
        </w:rPr>
        <w:t xml:space="preserve">, </w:t>
      </w:r>
      <w:r w:rsidRPr="000778BA">
        <w:rPr>
          <w:rFonts w:ascii="Times New Roman" w:hAnsi="Times New Roman" w:cs="Times New Roman"/>
          <w:i/>
          <w:noProof/>
        </w:rPr>
        <w:t>Tạp chí Phát triển và Hội nhập</w:t>
      </w:r>
      <w:r w:rsidRPr="000778BA">
        <w:rPr>
          <w:rFonts w:ascii="Times New Roman" w:hAnsi="Times New Roman" w:cs="Times New Roman"/>
          <w:noProof/>
        </w:rPr>
        <w:t>, số 24 (34), tháng 09-10/2015, trang 40-50.</w:t>
      </w:r>
    </w:p>
    <w:p w:rsidR="00832F7A" w:rsidRPr="007418EB" w:rsidRDefault="0077171F" w:rsidP="002C462B">
      <w:pPr>
        <w:pStyle w:val="Bibliography"/>
        <w:numPr>
          <w:ilvl w:val="0"/>
          <w:numId w:val="9"/>
        </w:numPr>
        <w:spacing w:before="120" w:after="0" w:line="276" w:lineRule="auto"/>
        <w:jc w:val="both"/>
        <w:rPr>
          <w:rFonts w:ascii="Times New Roman" w:hAnsi="Times New Roman" w:cs="Times New Roman"/>
          <w:noProof/>
          <w:color w:val="000000" w:themeColor="text1"/>
        </w:rPr>
      </w:pPr>
      <w:r w:rsidRPr="000778BA">
        <w:rPr>
          <w:rFonts w:ascii="Times New Roman" w:hAnsi="Times New Roman" w:cs="Times New Roman"/>
        </w:rPr>
        <w:t xml:space="preserve">Minh, Le Thi Hong; Ha, Huynh Thi Cam; Hong, Dinh Thi Thu (2017), Asymmetric Exchange Rate Exposure – Research in Southeast Asian Countries, </w:t>
      </w:r>
      <w:r w:rsidRPr="000778BA">
        <w:rPr>
          <w:rFonts w:ascii="Times New Roman" w:hAnsi="Times New Roman" w:cs="Times New Roman"/>
          <w:i/>
          <w:noProof/>
        </w:rPr>
        <w:t>Exchanges: The Warwick Research Journal</w:t>
      </w:r>
      <w:r w:rsidRPr="000778BA">
        <w:rPr>
          <w:rFonts w:ascii="Times New Roman" w:hAnsi="Times New Roman" w:cs="Times New Roman"/>
          <w:noProof/>
        </w:rPr>
        <w:t>, Volume 4, Issue 2, pp. 262-279</w:t>
      </w:r>
      <w:r w:rsidRPr="000778BA">
        <w:rPr>
          <w:rFonts w:ascii="Times New Roman" w:hAnsi="Times New Roman" w:cs="Times New Roman"/>
        </w:rPr>
        <w:t>.</w:t>
      </w:r>
    </w:p>
    <w:p w:rsidR="00BF039D" w:rsidRPr="007418EB" w:rsidRDefault="00FD6926" w:rsidP="002C462B">
      <w:pPr>
        <w:pStyle w:val="Bibliography"/>
        <w:spacing w:before="120" w:after="0" w:line="276" w:lineRule="auto"/>
        <w:jc w:val="both"/>
        <w:rPr>
          <w:rFonts w:ascii="Times New Roman" w:hAnsi="Times New Roman" w:cs="Times New Roman"/>
          <w:b/>
          <w:color w:val="000000" w:themeColor="text1"/>
        </w:rPr>
      </w:pPr>
      <w:r w:rsidRPr="007418EB">
        <w:rPr>
          <w:rFonts w:ascii="Times New Roman" w:hAnsi="Times New Roman" w:cs="Times New Roman"/>
          <w:b/>
          <w:color w:val="000000" w:themeColor="text1"/>
        </w:rPr>
        <w:t>Re</w:t>
      </w:r>
      <w:r w:rsidR="0077171F">
        <w:rPr>
          <w:rFonts w:ascii="Times New Roman" w:hAnsi="Times New Roman" w:cs="Times New Roman"/>
          <w:b/>
          <w:color w:val="000000" w:themeColor="text1"/>
        </w:rPr>
        <w:t>search at University level</w:t>
      </w:r>
      <w:r w:rsidR="00832F7A" w:rsidRPr="007418EB">
        <w:rPr>
          <w:rFonts w:ascii="Times New Roman" w:hAnsi="Times New Roman" w:cs="Times New Roman"/>
          <w:b/>
          <w:color w:val="000000" w:themeColor="text1"/>
        </w:rPr>
        <w:t>:</w:t>
      </w:r>
    </w:p>
    <w:p w:rsidR="00BF039D" w:rsidRPr="007418EB" w:rsidRDefault="0077171F" w:rsidP="002C462B">
      <w:pPr>
        <w:pStyle w:val="ListParagraph"/>
        <w:numPr>
          <w:ilvl w:val="0"/>
          <w:numId w:val="10"/>
        </w:numPr>
        <w:spacing w:before="120" w:line="276" w:lineRule="auto"/>
        <w:jc w:val="both"/>
        <w:rPr>
          <w:color w:val="000000" w:themeColor="text1"/>
          <w:sz w:val="22"/>
          <w:szCs w:val="22"/>
        </w:rPr>
      </w:pPr>
      <w:r w:rsidRPr="000778BA">
        <w:rPr>
          <w:sz w:val="22"/>
          <w:szCs w:val="22"/>
        </w:rPr>
        <w:t>Chủ nhiệm,  “</w:t>
      </w:r>
      <w:r w:rsidRPr="000778BA">
        <w:rPr>
          <w:noProof/>
          <w:sz w:val="22"/>
          <w:szCs w:val="22"/>
        </w:rPr>
        <w:t>Độ nhạy cảm tỷ giá và tỷ suất sinh lợi chứng khoán - Nghiên cứu tại các nước Đông Nam Á”</w:t>
      </w:r>
      <w:r w:rsidRPr="000778BA">
        <w:rPr>
          <w:sz w:val="22"/>
          <w:szCs w:val="22"/>
        </w:rPr>
        <w:t>. Mã số: CS-2014-71. Nghiệm thu năm 2015. Xếp loại: Tốt.</w:t>
      </w:r>
    </w:p>
    <w:p w:rsidR="00BF039D" w:rsidRPr="007418EB" w:rsidRDefault="00FD6926" w:rsidP="002C462B">
      <w:pPr>
        <w:spacing w:before="120" w:after="0" w:line="276" w:lineRule="auto"/>
        <w:rPr>
          <w:rFonts w:ascii="Times New Roman" w:hAnsi="Times New Roman" w:cs="Times New Roman"/>
          <w:color w:val="000000" w:themeColor="text1"/>
        </w:rPr>
      </w:pPr>
      <w:r w:rsidRPr="007418EB">
        <w:rPr>
          <w:rFonts w:ascii="Times New Roman" w:hAnsi="Times New Roman" w:cs="Times New Roman"/>
          <w:b/>
          <w:color w:val="000000" w:themeColor="text1"/>
        </w:rPr>
        <w:t>Conference Proceeding</w:t>
      </w:r>
      <w:r w:rsidR="00832F7A" w:rsidRPr="007418EB">
        <w:rPr>
          <w:rFonts w:ascii="Times New Roman" w:hAnsi="Times New Roman" w:cs="Times New Roman"/>
          <w:b/>
          <w:color w:val="000000" w:themeColor="text1"/>
        </w:rPr>
        <w:t>:</w:t>
      </w:r>
    </w:p>
    <w:p w:rsidR="00BF039D" w:rsidRPr="007418EB" w:rsidRDefault="0077171F" w:rsidP="002C462B">
      <w:pPr>
        <w:pStyle w:val="ListParagraph"/>
        <w:numPr>
          <w:ilvl w:val="0"/>
          <w:numId w:val="11"/>
        </w:numPr>
        <w:spacing w:before="120" w:line="276" w:lineRule="auto"/>
        <w:jc w:val="both"/>
        <w:rPr>
          <w:color w:val="000000" w:themeColor="text1"/>
          <w:sz w:val="22"/>
          <w:szCs w:val="22"/>
        </w:rPr>
      </w:pPr>
      <w:r w:rsidRPr="000778BA">
        <w:rPr>
          <w:sz w:val="22"/>
          <w:szCs w:val="22"/>
        </w:rPr>
        <w:t>Lê Thị Hồng Minh &amp; Huỳnh Thị Cẩm Hà (2015), Độ nhạy cảm tỷ giá bất cân xứng –</w:t>
      </w:r>
      <w:bookmarkStart w:id="18" w:name="_GoBack"/>
      <w:bookmarkEnd w:id="18"/>
      <w:r w:rsidRPr="000778BA">
        <w:rPr>
          <w:sz w:val="22"/>
          <w:szCs w:val="22"/>
        </w:rPr>
        <w:t xml:space="preserve"> Nghiên cứu tại các nước Đông Nam Á, </w:t>
      </w:r>
      <w:r w:rsidRPr="000778BA">
        <w:rPr>
          <w:i/>
          <w:sz w:val="22"/>
          <w:szCs w:val="22"/>
        </w:rPr>
        <w:t>Kỷ yếu hội thảo khoa học quốc gia “An ninh tài chính tiền tệ của Việt Nam trong bối cảnh hội nhập quốc tế”</w:t>
      </w:r>
      <w:r w:rsidRPr="000778BA">
        <w:rPr>
          <w:sz w:val="22"/>
          <w:szCs w:val="22"/>
        </w:rPr>
        <w:t>, Nhà xuất bản Đại học Kinh tế quốc dân, tháng 07/2015, ISBN: 978-604-946-002-9.</w:t>
      </w:r>
    </w:p>
    <w:sectPr w:rsidR="00BF039D" w:rsidRPr="007418EB" w:rsidSect="00821E83">
      <w:headerReference w:type="default" r:id="rId9"/>
      <w:pgSz w:w="8391" w:h="11907" w:code="11"/>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00E1" w:rsidRDefault="00CA00E1" w:rsidP="003F4755">
      <w:pPr>
        <w:spacing w:after="0" w:line="240" w:lineRule="auto"/>
      </w:pPr>
      <w:r>
        <w:separator/>
      </w:r>
    </w:p>
  </w:endnote>
  <w:endnote w:type="continuationSeparator" w:id="0">
    <w:p w:rsidR="00CA00E1" w:rsidRDefault="00CA00E1" w:rsidP="003F47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VNI-Times">
    <w:altName w:val="Times New Roman"/>
    <w:panose1 w:val="00000000000000000000"/>
    <w:charset w:val="00"/>
    <w:family w:val="auto"/>
    <w:pitch w:val="variable"/>
    <w:sig w:usb0="00000007" w:usb1="00000000" w:usb2="00000000" w:usb3="00000000" w:csb0="00000013"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00E1" w:rsidRDefault="00CA00E1" w:rsidP="003F4755">
      <w:pPr>
        <w:spacing w:after="0" w:line="240" w:lineRule="auto"/>
      </w:pPr>
      <w:r>
        <w:separator/>
      </w:r>
    </w:p>
  </w:footnote>
  <w:footnote w:type="continuationSeparator" w:id="0">
    <w:p w:rsidR="00CA00E1" w:rsidRDefault="00CA00E1" w:rsidP="003F47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15682168"/>
      <w:docPartObj>
        <w:docPartGallery w:val="Page Numbers (Top of Page)"/>
        <w:docPartUnique/>
      </w:docPartObj>
    </w:sdtPr>
    <w:sdtEndPr>
      <w:rPr>
        <w:noProof/>
      </w:rPr>
    </w:sdtEndPr>
    <w:sdtContent>
      <w:p w:rsidR="00B364EA" w:rsidRPr="00003B7D" w:rsidRDefault="00B364EA">
        <w:pPr>
          <w:pStyle w:val="Header"/>
          <w:jc w:val="center"/>
          <w:rPr>
            <w:rFonts w:ascii="Times New Roman" w:hAnsi="Times New Roman" w:cs="Times New Roman"/>
          </w:rPr>
        </w:pPr>
        <w:r w:rsidRPr="00003B7D">
          <w:rPr>
            <w:rFonts w:ascii="Times New Roman" w:hAnsi="Times New Roman" w:cs="Times New Roman"/>
          </w:rPr>
          <w:fldChar w:fldCharType="begin"/>
        </w:r>
        <w:r w:rsidRPr="00003B7D">
          <w:rPr>
            <w:rFonts w:ascii="Times New Roman" w:hAnsi="Times New Roman" w:cs="Times New Roman"/>
          </w:rPr>
          <w:instrText xml:space="preserve"> PAGE   \* MERGEFORMAT </w:instrText>
        </w:r>
        <w:r w:rsidRPr="00003B7D">
          <w:rPr>
            <w:rFonts w:ascii="Times New Roman" w:hAnsi="Times New Roman" w:cs="Times New Roman"/>
          </w:rPr>
          <w:fldChar w:fldCharType="separate"/>
        </w:r>
        <w:r w:rsidR="001325A9">
          <w:rPr>
            <w:rFonts w:ascii="Times New Roman" w:hAnsi="Times New Roman" w:cs="Times New Roman"/>
            <w:noProof/>
          </w:rPr>
          <w:t>20</w:t>
        </w:r>
        <w:r w:rsidRPr="00003B7D">
          <w:rPr>
            <w:rFonts w:ascii="Times New Roman" w:hAnsi="Times New Roman" w:cs="Times New Roman"/>
            <w:noProof/>
          </w:rPr>
          <w:fldChar w:fldCharType="end"/>
        </w:r>
      </w:p>
    </w:sdtContent>
  </w:sdt>
  <w:p w:rsidR="00B364EA" w:rsidRDefault="00B364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64EA" w:rsidRPr="00003B7D" w:rsidRDefault="00B364EA">
    <w:pPr>
      <w:pStyle w:val="Header"/>
      <w:jc w:val="center"/>
      <w:rPr>
        <w:rFonts w:ascii="Times New Roman" w:hAnsi="Times New Roman" w:cs="Times New Roman"/>
      </w:rPr>
    </w:pPr>
  </w:p>
  <w:p w:rsidR="00B364EA" w:rsidRDefault="00B36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5pt;height:11.5pt" o:bullet="t">
        <v:imagedata r:id="rId1" o:title="msoE1D8"/>
      </v:shape>
    </w:pict>
  </w:numPicBullet>
  <w:abstractNum w:abstractNumId="0" w15:restartNumberingAfterBreak="0">
    <w:nsid w:val="0BF13F9D"/>
    <w:multiLevelType w:val="hybridMultilevel"/>
    <w:tmpl w:val="F3FE0E6E"/>
    <w:lvl w:ilvl="0" w:tplc="A3EE8E92">
      <w:start w:val="16"/>
      <w:numFmt w:val="bullet"/>
      <w:lvlText w:val="-"/>
      <w:lvlJc w:val="left"/>
      <w:pPr>
        <w:ind w:left="1495"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3956C9B"/>
    <w:multiLevelType w:val="hybridMultilevel"/>
    <w:tmpl w:val="9E7EE874"/>
    <w:lvl w:ilvl="0" w:tplc="3EE4185C">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DC0121"/>
    <w:multiLevelType w:val="hybridMultilevel"/>
    <w:tmpl w:val="F4040316"/>
    <w:lvl w:ilvl="0" w:tplc="08090001">
      <w:start w:val="1"/>
      <w:numFmt w:val="bullet"/>
      <w:lvlText w:val=""/>
      <w:lvlJc w:val="left"/>
      <w:pPr>
        <w:ind w:left="781" w:hanging="360"/>
      </w:pPr>
      <w:rPr>
        <w:rFonts w:ascii="Symbol" w:hAnsi="Symbol" w:hint="default"/>
      </w:rPr>
    </w:lvl>
    <w:lvl w:ilvl="1" w:tplc="08090003" w:tentative="1">
      <w:start w:val="1"/>
      <w:numFmt w:val="bullet"/>
      <w:lvlText w:val="o"/>
      <w:lvlJc w:val="left"/>
      <w:pPr>
        <w:ind w:left="1501" w:hanging="360"/>
      </w:pPr>
      <w:rPr>
        <w:rFonts w:ascii="Courier New" w:hAnsi="Courier New" w:cs="Courier New" w:hint="default"/>
      </w:rPr>
    </w:lvl>
    <w:lvl w:ilvl="2" w:tplc="08090005" w:tentative="1">
      <w:start w:val="1"/>
      <w:numFmt w:val="bullet"/>
      <w:lvlText w:val=""/>
      <w:lvlJc w:val="left"/>
      <w:pPr>
        <w:ind w:left="2221" w:hanging="360"/>
      </w:pPr>
      <w:rPr>
        <w:rFonts w:ascii="Wingdings" w:hAnsi="Wingdings" w:hint="default"/>
      </w:rPr>
    </w:lvl>
    <w:lvl w:ilvl="3" w:tplc="08090001" w:tentative="1">
      <w:start w:val="1"/>
      <w:numFmt w:val="bullet"/>
      <w:lvlText w:val=""/>
      <w:lvlJc w:val="left"/>
      <w:pPr>
        <w:ind w:left="2941" w:hanging="360"/>
      </w:pPr>
      <w:rPr>
        <w:rFonts w:ascii="Symbol" w:hAnsi="Symbol" w:hint="default"/>
      </w:rPr>
    </w:lvl>
    <w:lvl w:ilvl="4" w:tplc="08090003" w:tentative="1">
      <w:start w:val="1"/>
      <w:numFmt w:val="bullet"/>
      <w:lvlText w:val="o"/>
      <w:lvlJc w:val="left"/>
      <w:pPr>
        <w:ind w:left="3661" w:hanging="360"/>
      </w:pPr>
      <w:rPr>
        <w:rFonts w:ascii="Courier New" w:hAnsi="Courier New" w:cs="Courier New" w:hint="default"/>
      </w:rPr>
    </w:lvl>
    <w:lvl w:ilvl="5" w:tplc="08090005" w:tentative="1">
      <w:start w:val="1"/>
      <w:numFmt w:val="bullet"/>
      <w:lvlText w:val=""/>
      <w:lvlJc w:val="left"/>
      <w:pPr>
        <w:ind w:left="4381" w:hanging="360"/>
      </w:pPr>
      <w:rPr>
        <w:rFonts w:ascii="Wingdings" w:hAnsi="Wingdings" w:hint="default"/>
      </w:rPr>
    </w:lvl>
    <w:lvl w:ilvl="6" w:tplc="08090001" w:tentative="1">
      <w:start w:val="1"/>
      <w:numFmt w:val="bullet"/>
      <w:lvlText w:val=""/>
      <w:lvlJc w:val="left"/>
      <w:pPr>
        <w:ind w:left="5101" w:hanging="360"/>
      </w:pPr>
      <w:rPr>
        <w:rFonts w:ascii="Symbol" w:hAnsi="Symbol" w:hint="default"/>
      </w:rPr>
    </w:lvl>
    <w:lvl w:ilvl="7" w:tplc="08090003" w:tentative="1">
      <w:start w:val="1"/>
      <w:numFmt w:val="bullet"/>
      <w:lvlText w:val="o"/>
      <w:lvlJc w:val="left"/>
      <w:pPr>
        <w:ind w:left="5821" w:hanging="360"/>
      </w:pPr>
      <w:rPr>
        <w:rFonts w:ascii="Courier New" w:hAnsi="Courier New" w:cs="Courier New" w:hint="default"/>
      </w:rPr>
    </w:lvl>
    <w:lvl w:ilvl="8" w:tplc="08090005" w:tentative="1">
      <w:start w:val="1"/>
      <w:numFmt w:val="bullet"/>
      <w:lvlText w:val=""/>
      <w:lvlJc w:val="left"/>
      <w:pPr>
        <w:ind w:left="6541" w:hanging="360"/>
      </w:pPr>
      <w:rPr>
        <w:rFonts w:ascii="Wingdings" w:hAnsi="Wingdings" w:hint="default"/>
      </w:rPr>
    </w:lvl>
  </w:abstractNum>
  <w:abstractNum w:abstractNumId="3" w15:restartNumberingAfterBreak="0">
    <w:nsid w:val="1F0E0A37"/>
    <w:multiLevelType w:val="hybridMultilevel"/>
    <w:tmpl w:val="30E2DB98"/>
    <w:lvl w:ilvl="0" w:tplc="4190A728">
      <w:start w:val="3"/>
      <w:numFmt w:val="bullet"/>
      <w:lvlText w:val="-"/>
      <w:lvlJc w:val="left"/>
      <w:pPr>
        <w:ind w:left="420" w:hanging="360"/>
      </w:pPr>
      <w:rPr>
        <w:rFonts w:ascii="Times New Roman" w:eastAsiaTheme="minorHAnsi" w:hAnsi="Times New Roman" w:cs="Times New Roman"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4" w15:restartNumberingAfterBreak="0">
    <w:nsid w:val="22A84F31"/>
    <w:multiLevelType w:val="hybridMultilevel"/>
    <w:tmpl w:val="536239C0"/>
    <w:lvl w:ilvl="0" w:tplc="04090007">
      <w:start w:val="1"/>
      <w:numFmt w:val="bullet"/>
      <w:lvlText w:val=""/>
      <w:lvlPicBulletId w:val="0"/>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757F3E"/>
    <w:multiLevelType w:val="hybridMultilevel"/>
    <w:tmpl w:val="D78E1724"/>
    <w:lvl w:ilvl="0" w:tplc="47920B54">
      <w:start w:val="1"/>
      <w:numFmt w:val="decimal"/>
      <w:lvlText w:val="%1."/>
      <w:lvlJc w:val="left"/>
      <w:pPr>
        <w:ind w:left="786" w:hanging="360"/>
      </w:pPr>
      <w:rPr>
        <w:rFonts w:hint="default"/>
        <w:b w:val="0"/>
        <w:sz w:val="22"/>
        <w:szCs w:val="26"/>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 w15:restartNumberingAfterBreak="0">
    <w:nsid w:val="2FBA3CF7"/>
    <w:multiLevelType w:val="multilevel"/>
    <w:tmpl w:val="2362BD3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32FD5E4C"/>
    <w:multiLevelType w:val="hybridMultilevel"/>
    <w:tmpl w:val="EC02C594"/>
    <w:lvl w:ilvl="0" w:tplc="C3D2F42C">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F7F21F0"/>
    <w:multiLevelType w:val="hybridMultilevel"/>
    <w:tmpl w:val="45926A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EB21AF3"/>
    <w:multiLevelType w:val="hybridMultilevel"/>
    <w:tmpl w:val="3EA248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BF1263"/>
    <w:multiLevelType w:val="hybridMultilevel"/>
    <w:tmpl w:val="F6CEC4C8"/>
    <w:lvl w:ilvl="0" w:tplc="3EE4185C">
      <w:start w:val="4"/>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4373D0E"/>
    <w:multiLevelType w:val="hybridMultilevel"/>
    <w:tmpl w:val="F55C6EBC"/>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9102385"/>
    <w:multiLevelType w:val="multilevel"/>
    <w:tmpl w:val="2884BA1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6"/>
  </w:num>
  <w:num w:numId="2">
    <w:abstractNumId w:val="12"/>
  </w:num>
  <w:num w:numId="3">
    <w:abstractNumId w:val="2"/>
  </w:num>
  <w:num w:numId="4">
    <w:abstractNumId w:val="10"/>
  </w:num>
  <w:num w:numId="5">
    <w:abstractNumId w:val="7"/>
  </w:num>
  <w:num w:numId="6">
    <w:abstractNumId w:val="0"/>
  </w:num>
  <w:num w:numId="7">
    <w:abstractNumId w:val="4"/>
  </w:num>
  <w:num w:numId="8">
    <w:abstractNumId w:val="11"/>
  </w:num>
  <w:num w:numId="9">
    <w:abstractNumId w:val="9"/>
  </w:num>
  <w:num w:numId="10">
    <w:abstractNumId w:val="8"/>
  </w:num>
  <w:num w:numId="11">
    <w:abstractNumId w:val="5"/>
  </w:num>
  <w:num w:numId="12">
    <w:abstractNumId w:val="3"/>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AC0"/>
    <w:rsid w:val="00003B7D"/>
    <w:rsid w:val="0000687D"/>
    <w:rsid w:val="000311CF"/>
    <w:rsid w:val="00033427"/>
    <w:rsid w:val="0005346F"/>
    <w:rsid w:val="0005599A"/>
    <w:rsid w:val="000568E8"/>
    <w:rsid w:val="00060CC9"/>
    <w:rsid w:val="000628CE"/>
    <w:rsid w:val="00062B96"/>
    <w:rsid w:val="0007374E"/>
    <w:rsid w:val="0007379A"/>
    <w:rsid w:val="00084057"/>
    <w:rsid w:val="00090F1C"/>
    <w:rsid w:val="000A164E"/>
    <w:rsid w:val="000A1D6C"/>
    <w:rsid w:val="000A4825"/>
    <w:rsid w:val="000A4B18"/>
    <w:rsid w:val="000B1B43"/>
    <w:rsid w:val="000C5A73"/>
    <w:rsid w:val="000C5E66"/>
    <w:rsid w:val="000C75F6"/>
    <w:rsid w:val="000D12D4"/>
    <w:rsid w:val="000E06DC"/>
    <w:rsid w:val="000E6032"/>
    <w:rsid w:val="0010210E"/>
    <w:rsid w:val="00110BB4"/>
    <w:rsid w:val="001118AE"/>
    <w:rsid w:val="00111CA5"/>
    <w:rsid w:val="001127A0"/>
    <w:rsid w:val="00113043"/>
    <w:rsid w:val="0012734D"/>
    <w:rsid w:val="001325A9"/>
    <w:rsid w:val="00133841"/>
    <w:rsid w:val="00141767"/>
    <w:rsid w:val="00154E50"/>
    <w:rsid w:val="00157BA8"/>
    <w:rsid w:val="00162102"/>
    <w:rsid w:val="00171AEE"/>
    <w:rsid w:val="00186282"/>
    <w:rsid w:val="001951FC"/>
    <w:rsid w:val="00195810"/>
    <w:rsid w:val="00195CFB"/>
    <w:rsid w:val="001A219A"/>
    <w:rsid w:val="001A439B"/>
    <w:rsid w:val="001A65F5"/>
    <w:rsid w:val="001B24DB"/>
    <w:rsid w:val="001B40D4"/>
    <w:rsid w:val="001C0827"/>
    <w:rsid w:val="001C0F6F"/>
    <w:rsid w:val="001C2C2F"/>
    <w:rsid w:val="001C570D"/>
    <w:rsid w:val="001C5A60"/>
    <w:rsid w:val="001E0BD4"/>
    <w:rsid w:val="001E165B"/>
    <w:rsid w:val="001E1AFB"/>
    <w:rsid w:val="001E201F"/>
    <w:rsid w:val="001E4F93"/>
    <w:rsid w:val="001F069C"/>
    <w:rsid w:val="002019A6"/>
    <w:rsid w:val="00204D05"/>
    <w:rsid w:val="00207BD6"/>
    <w:rsid w:val="002123AD"/>
    <w:rsid w:val="002135C8"/>
    <w:rsid w:val="00226F67"/>
    <w:rsid w:val="00232CAE"/>
    <w:rsid w:val="00234763"/>
    <w:rsid w:val="00245E4C"/>
    <w:rsid w:val="00250726"/>
    <w:rsid w:val="00260F9C"/>
    <w:rsid w:val="0026188E"/>
    <w:rsid w:val="00276B33"/>
    <w:rsid w:val="00285AD5"/>
    <w:rsid w:val="002A0B46"/>
    <w:rsid w:val="002B2AD0"/>
    <w:rsid w:val="002B6185"/>
    <w:rsid w:val="002B628B"/>
    <w:rsid w:val="002B751E"/>
    <w:rsid w:val="002B775C"/>
    <w:rsid w:val="002C462B"/>
    <w:rsid w:val="002D0E61"/>
    <w:rsid w:val="002D3DA3"/>
    <w:rsid w:val="002E0664"/>
    <w:rsid w:val="002E1B63"/>
    <w:rsid w:val="002E4D02"/>
    <w:rsid w:val="002E599C"/>
    <w:rsid w:val="002E5F86"/>
    <w:rsid w:val="002E760F"/>
    <w:rsid w:val="002E7F48"/>
    <w:rsid w:val="002F21B8"/>
    <w:rsid w:val="002F564C"/>
    <w:rsid w:val="00302900"/>
    <w:rsid w:val="00306024"/>
    <w:rsid w:val="00306778"/>
    <w:rsid w:val="003125C5"/>
    <w:rsid w:val="003126DA"/>
    <w:rsid w:val="00315100"/>
    <w:rsid w:val="0032707C"/>
    <w:rsid w:val="003342D5"/>
    <w:rsid w:val="00335E9C"/>
    <w:rsid w:val="00342550"/>
    <w:rsid w:val="00344B64"/>
    <w:rsid w:val="0035329E"/>
    <w:rsid w:val="00353F05"/>
    <w:rsid w:val="003723B9"/>
    <w:rsid w:val="00373D67"/>
    <w:rsid w:val="00377CCA"/>
    <w:rsid w:val="0038000D"/>
    <w:rsid w:val="003906EA"/>
    <w:rsid w:val="0039208B"/>
    <w:rsid w:val="003A05CC"/>
    <w:rsid w:val="003A3C9A"/>
    <w:rsid w:val="003A3E58"/>
    <w:rsid w:val="003A53B6"/>
    <w:rsid w:val="003A5D49"/>
    <w:rsid w:val="003B4E27"/>
    <w:rsid w:val="003B677F"/>
    <w:rsid w:val="003C3B8D"/>
    <w:rsid w:val="003C5C14"/>
    <w:rsid w:val="003D7EF0"/>
    <w:rsid w:val="003F0028"/>
    <w:rsid w:val="003F063A"/>
    <w:rsid w:val="003F1F27"/>
    <w:rsid w:val="003F4755"/>
    <w:rsid w:val="003F538F"/>
    <w:rsid w:val="00402FB6"/>
    <w:rsid w:val="00405EB4"/>
    <w:rsid w:val="00410778"/>
    <w:rsid w:val="0041699F"/>
    <w:rsid w:val="0042029B"/>
    <w:rsid w:val="00432D3C"/>
    <w:rsid w:val="00445C03"/>
    <w:rsid w:val="004505FB"/>
    <w:rsid w:val="00457688"/>
    <w:rsid w:val="00457C07"/>
    <w:rsid w:val="0046018F"/>
    <w:rsid w:val="00473B14"/>
    <w:rsid w:val="00473DA1"/>
    <w:rsid w:val="00474A59"/>
    <w:rsid w:val="00474AAD"/>
    <w:rsid w:val="00476E1C"/>
    <w:rsid w:val="00477B67"/>
    <w:rsid w:val="00481414"/>
    <w:rsid w:val="0049326D"/>
    <w:rsid w:val="00494FDD"/>
    <w:rsid w:val="00495746"/>
    <w:rsid w:val="004972FE"/>
    <w:rsid w:val="004974C5"/>
    <w:rsid w:val="004A187F"/>
    <w:rsid w:val="004A70D6"/>
    <w:rsid w:val="004A7D96"/>
    <w:rsid w:val="004B06A0"/>
    <w:rsid w:val="004C1140"/>
    <w:rsid w:val="004C29F0"/>
    <w:rsid w:val="004C2B2D"/>
    <w:rsid w:val="004D0B05"/>
    <w:rsid w:val="004D2C34"/>
    <w:rsid w:val="004D3F1F"/>
    <w:rsid w:val="004D5A72"/>
    <w:rsid w:val="004E185F"/>
    <w:rsid w:val="004F0875"/>
    <w:rsid w:val="00504AE4"/>
    <w:rsid w:val="00523E63"/>
    <w:rsid w:val="00543E8B"/>
    <w:rsid w:val="00545DBC"/>
    <w:rsid w:val="00550D21"/>
    <w:rsid w:val="0055440C"/>
    <w:rsid w:val="00554FF4"/>
    <w:rsid w:val="00562373"/>
    <w:rsid w:val="005675C3"/>
    <w:rsid w:val="00573EB7"/>
    <w:rsid w:val="00577E09"/>
    <w:rsid w:val="00587C7E"/>
    <w:rsid w:val="00592D68"/>
    <w:rsid w:val="005956A3"/>
    <w:rsid w:val="005A0911"/>
    <w:rsid w:val="005A2D86"/>
    <w:rsid w:val="005B46C8"/>
    <w:rsid w:val="005B74EB"/>
    <w:rsid w:val="005C3707"/>
    <w:rsid w:val="005C3CAA"/>
    <w:rsid w:val="005D5FCA"/>
    <w:rsid w:val="005E099C"/>
    <w:rsid w:val="005E6D07"/>
    <w:rsid w:val="005F2196"/>
    <w:rsid w:val="005F24DB"/>
    <w:rsid w:val="006063FE"/>
    <w:rsid w:val="006145B5"/>
    <w:rsid w:val="00625EE7"/>
    <w:rsid w:val="006268A8"/>
    <w:rsid w:val="00630CE7"/>
    <w:rsid w:val="0064198B"/>
    <w:rsid w:val="00643730"/>
    <w:rsid w:val="00644893"/>
    <w:rsid w:val="006606CD"/>
    <w:rsid w:val="0066107C"/>
    <w:rsid w:val="006618A4"/>
    <w:rsid w:val="00666E25"/>
    <w:rsid w:val="00667BE8"/>
    <w:rsid w:val="00674307"/>
    <w:rsid w:val="00674B08"/>
    <w:rsid w:val="00681F1F"/>
    <w:rsid w:val="006839A9"/>
    <w:rsid w:val="006868B2"/>
    <w:rsid w:val="006972E7"/>
    <w:rsid w:val="006A4519"/>
    <w:rsid w:val="006A47A3"/>
    <w:rsid w:val="006A4995"/>
    <w:rsid w:val="006D49D2"/>
    <w:rsid w:val="006E06A5"/>
    <w:rsid w:val="006E7ECE"/>
    <w:rsid w:val="007025F3"/>
    <w:rsid w:val="00710C19"/>
    <w:rsid w:val="007127AD"/>
    <w:rsid w:val="00714FAB"/>
    <w:rsid w:val="00717BDE"/>
    <w:rsid w:val="0072507D"/>
    <w:rsid w:val="007418EB"/>
    <w:rsid w:val="00752FA9"/>
    <w:rsid w:val="00761032"/>
    <w:rsid w:val="007643BE"/>
    <w:rsid w:val="0077171F"/>
    <w:rsid w:val="00780488"/>
    <w:rsid w:val="0078096B"/>
    <w:rsid w:val="00781996"/>
    <w:rsid w:val="00784A0B"/>
    <w:rsid w:val="00784BFB"/>
    <w:rsid w:val="00786072"/>
    <w:rsid w:val="0079132A"/>
    <w:rsid w:val="007A4487"/>
    <w:rsid w:val="007A66EA"/>
    <w:rsid w:val="007B0A9A"/>
    <w:rsid w:val="007C343A"/>
    <w:rsid w:val="007C397F"/>
    <w:rsid w:val="007C4056"/>
    <w:rsid w:val="007D5CD0"/>
    <w:rsid w:val="007D661E"/>
    <w:rsid w:val="007D681D"/>
    <w:rsid w:val="007E0CAB"/>
    <w:rsid w:val="007E5A17"/>
    <w:rsid w:val="007E67E3"/>
    <w:rsid w:val="007E6AC0"/>
    <w:rsid w:val="007E6F29"/>
    <w:rsid w:val="007F41E3"/>
    <w:rsid w:val="00803108"/>
    <w:rsid w:val="0080592B"/>
    <w:rsid w:val="0081722E"/>
    <w:rsid w:val="008204F4"/>
    <w:rsid w:val="00821E83"/>
    <w:rsid w:val="0082621A"/>
    <w:rsid w:val="00832F7A"/>
    <w:rsid w:val="008330E8"/>
    <w:rsid w:val="00836C59"/>
    <w:rsid w:val="00836E47"/>
    <w:rsid w:val="008414AD"/>
    <w:rsid w:val="008418E4"/>
    <w:rsid w:val="00842AA9"/>
    <w:rsid w:val="00845BC3"/>
    <w:rsid w:val="0084619C"/>
    <w:rsid w:val="00851370"/>
    <w:rsid w:val="008569F9"/>
    <w:rsid w:val="00861849"/>
    <w:rsid w:val="00861EAE"/>
    <w:rsid w:val="00863587"/>
    <w:rsid w:val="0086500A"/>
    <w:rsid w:val="00867A49"/>
    <w:rsid w:val="00872967"/>
    <w:rsid w:val="0087545D"/>
    <w:rsid w:val="008821DB"/>
    <w:rsid w:val="00882A07"/>
    <w:rsid w:val="00883586"/>
    <w:rsid w:val="008835F9"/>
    <w:rsid w:val="00891460"/>
    <w:rsid w:val="008A2311"/>
    <w:rsid w:val="008A49E1"/>
    <w:rsid w:val="008B2AA4"/>
    <w:rsid w:val="008B2D7A"/>
    <w:rsid w:val="008C6025"/>
    <w:rsid w:val="008C626E"/>
    <w:rsid w:val="00901D63"/>
    <w:rsid w:val="00901ECA"/>
    <w:rsid w:val="00904EB4"/>
    <w:rsid w:val="009117DC"/>
    <w:rsid w:val="00924D41"/>
    <w:rsid w:val="00927568"/>
    <w:rsid w:val="00931CDB"/>
    <w:rsid w:val="00937FBA"/>
    <w:rsid w:val="00953222"/>
    <w:rsid w:val="00954F2C"/>
    <w:rsid w:val="009740CC"/>
    <w:rsid w:val="00974D7A"/>
    <w:rsid w:val="00975973"/>
    <w:rsid w:val="00983839"/>
    <w:rsid w:val="009841FC"/>
    <w:rsid w:val="00991AE6"/>
    <w:rsid w:val="00995E55"/>
    <w:rsid w:val="009B53A6"/>
    <w:rsid w:val="009C07A8"/>
    <w:rsid w:val="009C38E6"/>
    <w:rsid w:val="009C56BD"/>
    <w:rsid w:val="009C5F2F"/>
    <w:rsid w:val="009C6785"/>
    <w:rsid w:val="009D0FA5"/>
    <w:rsid w:val="009D157D"/>
    <w:rsid w:val="009D4EA1"/>
    <w:rsid w:val="009E4275"/>
    <w:rsid w:val="009E64AB"/>
    <w:rsid w:val="009F3DFB"/>
    <w:rsid w:val="009F5CBA"/>
    <w:rsid w:val="00A03FB0"/>
    <w:rsid w:val="00A04AE4"/>
    <w:rsid w:val="00A0600E"/>
    <w:rsid w:val="00A061E0"/>
    <w:rsid w:val="00A2144B"/>
    <w:rsid w:val="00A31B32"/>
    <w:rsid w:val="00A320BE"/>
    <w:rsid w:val="00A3399E"/>
    <w:rsid w:val="00A36F74"/>
    <w:rsid w:val="00A44251"/>
    <w:rsid w:val="00A452A7"/>
    <w:rsid w:val="00A508C2"/>
    <w:rsid w:val="00A52B6F"/>
    <w:rsid w:val="00A538B3"/>
    <w:rsid w:val="00A54750"/>
    <w:rsid w:val="00A6022F"/>
    <w:rsid w:val="00A62F77"/>
    <w:rsid w:val="00A63115"/>
    <w:rsid w:val="00A632F4"/>
    <w:rsid w:val="00A65071"/>
    <w:rsid w:val="00A65C7B"/>
    <w:rsid w:val="00A71FA4"/>
    <w:rsid w:val="00A775B6"/>
    <w:rsid w:val="00A856E3"/>
    <w:rsid w:val="00AA183B"/>
    <w:rsid w:val="00AA2497"/>
    <w:rsid w:val="00AA2FF3"/>
    <w:rsid w:val="00AA4137"/>
    <w:rsid w:val="00AB3FB6"/>
    <w:rsid w:val="00AB6179"/>
    <w:rsid w:val="00AC4429"/>
    <w:rsid w:val="00AC6761"/>
    <w:rsid w:val="00AD71CD"/>
    <w:rsid w:val="00AE27D0"/>
    <w:rsid w:val="00AE2A58"/>
    <w:rsid w:val="00AE4199"/>
    <w:rsid w:val="00AE42C4"/>
    <w:rsid w:val="00AE7D2A"/>
    <w:rsid w:val="00AF3DBB"/>
    <w:rsid w:val="00AF50FC"/>
    <w:rsid w:val="00B05DC5"/>
    <w:rsid w:val="00B1684C"/>
    <w:rsid w:val="00B22318"/>
    <w:rsid w:val="00B335CA"/>
    <w:rsid w:val="00B33EAC"/>
    <w:rsid w:val="00B3502A"/>
    <w:rsid w:val="00B364EA"/>
    <w:rsid w:val="00B4379B"/>
    <w:rsid w:val="00B4466E"/>
    <w:rsid w:val="00B45E17"/>
    <w:rsid w:val="00B51B86"/>
    <w:rsid w:val="00B57AAC"/>
    <w:rsid w:val="00B621E3"/>
    <w:rsid w:val="00B62D36"/>
    <w:rsid w:val="00B75762"/>
    <w:rsid w:val="00B77D10"/>
    <w:rsid w:val="00B828B3"/>
    <w:rsid w:val="00B8726C"/>
    <w:rsid w:val="00B87F1C"/>
    <w:rsid w:val="00BB2A4F"/>
    <w:rsid w:val="00BB6F75"/>
    <w:rsid w:val="00BC0B2C"/>
    <w:rsid w:val="00BC16A0"/>
    <w:rsid w:val="00BC26CC"/>
    <w:rsid w:val="00BC7F26"/>
    <w:rsid w:val="00BD0C12"/>
    <w:rsid w:val="00BD34C3"/>
    <w:rsid w:val="00BE375B"/>
    <w:rsid w:val="00BE4B1A"/>
    <w:rsid w:val="00BE7FF7"/>
    <w:rsid w:val="00BF039D"/>
    <w:rsid w:val="00BF1D72"/>
    <w:rsid w:val="00BF73FB"/>
    <w:rsid w:val="00C00FCA"/>
    <w:rsid w:val="00C02706"/>
    <w:rsid w:val="00C069BD"/>
    <w:rsid w:val="00C13022"/>
    <w:rsid w:val="00C14FDB"/>
    <w:rsid w:val="00C1762A"/>
    <w:rsid w:val="00C323DA"/>
    <w:rsid w:val="00C42E99"/>
    <w:rsid w:val="00C47420"/>
    <w:rsid w:val="00C51DD4"/>
    <w:rsid w:val="00C535E6"/>
    <w:rsid w:val="00C57139"/>
    <w:rsid w:val="00C57929"/>
    <w:rsid w:val="00C62148"/>
    <w:rsid w:val="00C62FA7"/>
    <w:rsid w:val="00C70F9B"/>
    <w:rsid w:val="00C8151A"/>
    <w:rsid w:val="00C81EC9"/>
    <w:rsid w:val="00C91127"/>
    <w:rsid w:val="00C91985"/>
    <w:rsid w:val="00CA00E1"/>
    <w:rsid w:val="00CA0173"/>
    <w:rsid w:val="00CA2259"/>
    <w:rsid w:val="00CA3AC8"/>
    <w:rsid w:val="00CA59CB"/>
    <w:rsid w:val="00CA7723"/>
    <w:rsid w:val="00CB1844"/>
    <w:rsid w:val="00CB1ACC"/>
    <w:rsid w:val="00CB4DB7"/>
    <w:rsid w:val="00CB5D3E"/>
    <w:rsid w:val="00CC4EBD"/>
    <w:rsid w:val="00CC4FDD"/>
    <w:rsid w:val="00CC7E12"/>
    <w:rsid w:val="00CD6704"/>
    <w:rsid w:val="00CD7B9C"/>
    <w:rsid w:val="00CF523C"/>
    <w:rsid w:val="00CF713D"/>
    <w:rsid w:val="00D07652"/>
    <w:rsid w:val="00D21323"/>
    <w:rsid w:val="00D249F9"/>
    <w:rsid w:val="00D25C5E"/>
    <w:rsid w:val="00D35FFF"/>
    <w:rsid w:val="00D37D2C"/>
    <w:rsid w:val="00D40D4D"/>
    <w:rsid w:val="00D42C95"/>
    <w:rsid w:val="00D47992"/>
    <w:rsid w:val="00D51F4E"/>
    <w:rsid w:val="00D5603B"/>
    <w:rsid w:val="00D62A08"/>
    <w:rsid w:val="00D63307"/>
    <w:rsid w:val="00D755E3"/>
    <w:rsid w:val="00D774A8"/>
    <w:rsid w:val="00D9178F"/>
    <w:rsid w:val="00D95DDF"/>
    <w:rsid w:val="00DA193C"/>
    <w:rsid w:val="00DA2921"/>
    <w:rsid w:val="00DA3975"/>
    <w:rsid w:val="00DB6402"/>
    <w:rsid w:val="00DB6DB4"/>
    <w:rsid w:val="00DC1784"/>
    <w:rsid w:val="00DD14F0"/>
    <w:rsid w:val="00DE2607"/>
    <w:rsid w:val="00DE4AF9"/>
    <w:rsid w:val="00DF35D0"/>
    <w:rsid w:val="00DF4A81"/>
    <w:rsid w:val="00E007D2"/>
    <w:rsid w:val="00E03512"/>
    <w:rsid w:val="00E05C45"/>
    <w:rsid w:val="00E30933"/>
    <w:rsid w:val="00E3194B"/>
    <w:rsid w:val="00E31BF2"/>
    <w:rsid w:val="00E33105"/>
    <w:rsid w:val="00E37C5B"/>
    <w:rsid w:val="00E574B6"/>
    <w:rsid w:val="00E6280C"/>
    <w:rsid w:val="00E634CB"/>
    <w:rsid w:val="00E66004"/>
    <w:rsid w:val="00E729D2"/>
    <w:rsid w:val="00E72CB4"/>
    <w:rsid w:val="00E86C9A"/>
    <w:rsid w:val="00E90323"/>
    <w:rsid w:val="00E91F0D"/>
    <w:rsid w:val="00E94A44"/>
    <w:rsid w:val="00E97267"/>
    <w:rsid w:val="00EA00A5"/>
    <w:rsid w:val="00EA3B19"/>
    <w:rsid w:val="00EA69B5"/>
    <w:rsid w:val="00EC3725"/>
    <w:rsid w:val="00EC6D62"/>
    <w:rsid w:val="00ED47BE"/>
    <w:rsid w:val="00ED61BC"/>
    <w:rsid w:val="00ED6E67"/>
    <w:rsid w:val="00ED7696"/>
    <w:rsid w:val="00EE3739"/>
    <w:rsid w:val="00EE44DF"/>
    <w:rsid w:val="00EE5CDE"/>
    <w:rsid w:val="00EF00BF"/>
    <w:rsid w:val="00EF73E6"/>
    <w:rsid w:val="00F075E8"/>
    <w:rsid w:val="00F178CE"/>
    <w:rsid w:val="00F17AFA"/>
    <w:rsid w:val="00F2018F"/>
    <w:rsid w:val="00F21988"/>
    <w:rsid w:val="00F243DE"/>
    <w:rsid w:val="00F24611"/>
    <w:rsid w:val="00F2471B"/>
    <w:rsid w:val="00F32921"/>
    <w:rsid w:val="00F40D43"/>
    <w:rsid w:val="00F429CC"/>
    <w:rsid w:val="00F43DA8"/>
    <w:rsid w:val="00F51BE4"/>
    <w:rsid w:val="00F57E1A"/>
    <w:rsid w:val="00F64235"/>
    <w:rsid w:val="00F702A7"/>
    <w:rsid w:val="00F76FE0"/>
    <w:rsid w:val="00F775C5"/>
    <w:rsid w:val="00F91FA5"/>
    <w:rsid w:val="00FA0D60"/>
    <w:rsid w:val="00FA13D8"/>
    <w:rsid w:val="00FA29C8"/>
    <w:rsid w:val="00FA2CAF"/>
    <w:rsid w:val="00FA3306"/>
    <w:rsid w:val="00FB27C1"/>
    <w:rsid w:val="00FB3F9B"/>
    <w:rsid w:val="00FB48C8"/>
    <w:rsid w:val="00FB5374"/>
    <w:rsid w:val="00FD3012"/>
    <w:rsid w:val="00FD39D5"/>
    <w:rsid w:val="00FD571A"/>
    <w:rsid w:val="00FD6926"/>
    <w:rsid w:val="00FD7317"/>
    <w:rsid w:val="00FF47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B9B277-4C14-4EC4-A674-38F20726A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6AC0"/>
  </w:style>
  <w:style w:type="paragraph" w:styleId="Heading1">
    <w:name w:val="heading 1"/>
    <w:basedOn w:val="Normal"/>
    <w:next w:val="Normal"/>
    <w:link w:val="Heading1Char"/>
    <w:uiPriority w:val="9"/>
    <w:qFormat/>
    <w:rsid w:val="003F475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E6AC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3F475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E6AC0"/>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3F4755"/>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4755"/>
  </w:style>
  <w:style w:type="paragraph" w:styleId="Footer">
    <w:name w:val="footer"/>
    <w:basedOn w:val="Normal"/>
    <w:link w:val="FooterChar"/>
    <w:uiPriority w:val="99"/>
    <w:unhideWhenUsed/>
    <w:rsid w:val="003F475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4755"/>
  </w:style>
  <w:style w:type="character" w:customStyle="1" w:styleId="Heading1Char">
    <w:name w:val="Heading 1 Char"/>
    <w:basedOn w:val="DefaultParagraphFont"/>
    <w:link w:val="Heading1"/>
    <w:uiPriority w:val="9"/>
    <w:rsid w:val="003F4755"/>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rsid w:val="003F4755"/>
    <w:rPr>
      <w:rFonts w:asciiTheme="majorHAnsi" w:eastAsiaTheme="majorEastAsia" w:hAnsiTheme="majorHAnsi" w:cstheme="majorBidi"/>
      <w:color w:val="1F4D78" w:themeColor="accent1" w:themeShade="7F"/>
      <w:sz w:val="24"/>
      <w:szCs w:val="24"/>
    </w:rPr>
  </w:style>
  <w:style w:type="paragraph" w:customStyle="1" w:styleId="text">
    <w:name w:val="text"/>
    <w:basedOn w:val="Normal"/>
    <w:rsid w:val="003F4755"/>
    <w:pPr>
      <w:spacing w:after="0" w:line="240" w:lineRule="auto"/>
      <w:ind w:firstLine="567"/>
      <w:jc w:val="both"/>
    </w:pPr>
    <w:rPr>
      <w:rFonts w:ascii="VNI-Times" w:eastAsia="Times New Roman" w:hAnsi="VNI-Times" w:cs="Times New Roman"/>
      <w:szCs w:val="20"/>
      <w:lang w:val="en-US"/>
    </w:rPr>
  </w:style>
  <w:style w:type="paragraph" w:styleId="ListParagraph">
    <w:name w:val="List Paragraph"/>
    <w:basedOn w:val="Normal"/>
    <w:uiPriority w:val="34"/>
    <w:qFormat/>
    <w:rsid w:val="003F4755"/>
    <w:pPr>
      <w:spacing w:after="0" w:line="240" w:lineRule="auto"/>
      <w:ind w:left="720"/>
      <w:contextualSpacing/>
    </w:pPr>
    <w:rPr>
      <w:rFonts w:ascii="Times New Roman" w:eastAsia="Times New Roman" w:hAnsi="Times New Roman" w:cs="Times New Roman"/>
      <w:sz w:val="24"/>
      <w:szCs w:val="24"/>
      <w:lang w:val="en-US"/>
    </w:rPr>
  </w:style>
  <w:style w:type="paragraph" w:styleId="Bibliography">
    <w:name w:val="Bibliography"/>
    <w:basedOn w:val="Normal"/>
    <w:next w:val="Normal"/>
    <w:uiPriority w:val="37"/>
    <w:unhideWhenUsed/>
    <w:rsid w:val="00BF039D"/>
  </w:style>
  <w:style w:type="paragraph" w:styleId="BalloonText">
    <w:name w:val="Balloon Text"/>
    <w:basedOn w:val="Normal"/>
    <w:link w:val="BalloonTextChar"/>
    <w:uiPriority w:val="99"/>
    <w:semiHidden/>
    <w:unhideWhenUsed/>
    <w:rsid w:val="00BF03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39D"/>
    <w:rPr>
      <w:rFonts w:ascii="Segoe UI" w:hAnsi="Segoe UI" w:cs="Segoe UI"/>
      <w:sz w:val="18"/>
      <w:szCs w:val="18"/>
    </w:rPr>
  </w:style>
  <w:style w:type="table" w:styleId="TableGrid">
    <w:name w:val="Table Grid"/>
    <w:basedOn w:val="TableNormal"/>
    <w:uiPriority w:val="39"/>
    <w:rsid w:val="00931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NOIDUNG">
    <w:name w:val="B. NOI DUNG"/>
    <w:basedOn w:val="Normal"/>
    <w:qFormat/>
    <w:rsid w:val="00991AE6"/>
    <w:pPr>
      <w:shd w:val="clear" w:color="auto" w:fill="FFFFFF"/>
      <w:spacing w:before="120" w:after="120" w:line="288" w:lineRule="auto"/>
      <w:ind w:firstLine="567"/>
      <w:jc w:val="both"/>
    </w:pPr>
    <w:rPr>
      <w:rFonts w:ascii="Times New Roman" w:eastAsia="Times New Roman" w:hAnsi="Times New Roman" w:cs="Times New Roman"/>
      <w:color w:val="333333"/>
      <w:sz w:val="24"/>
      <w:szCs w:val="24"/>
      <w:lang w:val="vi-VN"/>
    </w:rPr>
  </w:style>
  <w:style w:type="character" w:customStyle="1" w:styleId="fontstyle01">
    <w:name w:val="fontstyle01"/>
    <w:basedOn w:val="DefaultParagraphFont"/>
    <w:rsid w:val="00BF73FB"/>
    <w:rPr>
      <w:rFonts w:ascii="Times New Roman" w:hAnsi="Times New Roman" w:cs="Times New Roman" w:hint="default"/>
      <w:b w:val="0"/>
      <w:bCs w:val="0"/>
      <w:i w:val="0"/>
      <w:iCs w:val="0"/>
      <w:color w:val="000000"/>
      <w:sz w:val="22"/>
      <w:szCs w:val="22"/>
    </w:rPr>
  </w:style>
  <w:style w:type="paragraph" w:customStyle="1" w:styleId="msonormal0">
    <w:name w:val="msonormal"/>
    <w:basedOn w:val="Normal"/>
    <w:rsid w:val="00CB184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rmalWeb">
    <w:name w:val="Normal (Web)"/>
    <w:basedOn w:val="Normal"/>
    <w:uiPriority w:val="99"/>
    <w:semiHidden/>
    <w:unhideWhenUsed/>
    <w:rsid w:val="00CB184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TableParagraph">
    <w:name w:val="Table Paragraph"/>
    <w:basedOn w:val="Normal"/>
    <w:uiPriority w:val="1"/>
    <w:qFormat/>
    <w:rsid w:val="00861849"/>
    <w:pPr>
      <w:widowControl w:val="0"/>
      <w:autoSpaceDE w:val="0"/>
      <w:autoSpaceDN w:val="0"/>
      <w:spacing w:before="110" w:after="0" w:line="240" w:lineRule="auto"/>
      <w:ind w:left="107"/>
    </w:pPr>
    <w:rPr>
      <w:rFonts w:ascii="Times New Roman" w:eastAsia="Times New Roman" w:hAnsi="Times New Roman" w:cs="Times New Roman"/>
      <w:lang w:val="vi" w:eastAsia="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524817">
      <w:bodyDiv w:val="1"/>
      <w:marLeft w:val="0"/>
      <w:marRight w:val="0"/>
      <w:marTop w:val="0"/>
      <w:marBottom w:val="0"/>
      <w:divBdr>
        <w:top w:val="none" w:sz="0" w:space="0" w:color="auto"/>
        <w:left w:val="none" w:sz="0" w:space="0" w:color="auto"/>
        <w:bottom w:val="none" w:sz="0" w:space="0" w:color="auto"/>
        <w:right w:val="none" w:sz="0" w:space="0" w:color="auto"/>
      </w:divBdr>
      <w:divsChild>
        <w:div w:id="1254239271">
          <w:marLeft w:val="0"/>
          <w:marRight w:val="0"/>
          <w:marTop w:val="0"/>
          <w:marBottom w:val="0"/>
          <w:divBdr>
            <w:top w:val="none" w:sz="0" w:space="0" w:color="auto"/>
            <w:left w:val="none" w:sz="0" w:space="0" w:color="auto"/>
            <w:bottom w:val="none" w:sz="0" w:space="0" w:color="auto"/>
            <w:right w:val="none" w:sz="0" w:space="0" w:color="auto"/>
          </w:divBdr>
        </w:div>
        <w:div w:id="968323485">
          <w:marLeft w:val="0"/>
          <w:marRight w:val="0"/>
          <w:marTop w:val="0"/>
          <w:marBottom w:val="0"/>
          <w:divBdr>
            <w:top w:val="none" w:sz="0" w:space="0" w:color="auto"/>
            <w:left w:val="none" w:sz="0" w:space="0" w:color="auto"/>
            <w:bottom w:val="none" w:sz="0" w:space="0" w:color="auto"/>
            <w:right w:val="none" w:sz="0" w:space="0" w:color="auto"/>
          </w:divBdr>
        </w:div>
        <w:div w:id="852188350">
          <w:marLeft w:val="0"/>
          <w:marRight w:val="0"/>
          <w:marTop w:val="0"/>
          <w:marBottom w:val="0"/>
          <w:divBdr>
            <w:top w:val="none" w:sz="0" w:space="0" w:color="auto"/>
            <w:left w:val="none" w:sz="0" w:space="0" w:color="auto"/>
            <w:bottom w:val="none" w:sz="0" w:space="0" w:color="auto"/>
            <w:right w:val="none" w:sz="0" w:space="0" w:color="auto"/>
          </w:divBdr>
        </w:div>
      </w:divsChild>
    </w:div>
    <w:div w:id="430473013">
      <w:bodyDiv w:val="1"/>
      <w:marLeft w:val="0"/>
      <w:marRight w:val="0"/>
      <w:marTop w:val="0"/>
      <w:marBottom w:val="0"/>
      <w:divBdr>
        <w:top w:val="none" w:sz="0" w:space="0" w:color="auto"/>
        <w:left w:val="none" w:sz="0" w:space="0" w:color="auto"/>
        <w:bottom w:val="none" w:sz="0" w:space="0" w:color="auto"/>
        <w:right w:val="none" w:sz="0" w:space="0" w:color="auto"/>
      </w:divBdr>
      <w:divsChild>
        <w:div w:id="448475375">
          <w:marLeft w:val="0"/>
          <w:marRight w:val="0"/>
          <w:marTop w:val="0"/>
          <w:marBottom w:val="0"/>
          <w:divBdr>
            <w:top w:val="none" w:sz="0" w:space="0" w:color="auto"/>
            <w:left w:val="none" w:sz="0" w:space="0" w:color="auto"/>
            <w:bottom w:val="none" w:sz="0" w:space="0" w:color="auto"/>
            <w:right w:val="none" w:sz="0" w:space="0" w:color="auto"/>
          </w:divBdr>
          <w:divsChild>
            <w:div w:id="39865850">
              <w:marLeft w:val="0"/>
              <w:marRight w:val="0"/>
              <w:marTop w:val="0"/>
              <w:marBottom w:val="0"/>
              <w:divBdr>
                <w:top w:val="none" w:sz="0" w:space="0" w:color="auto"/>
                <w:left w:val="none" w:sz="0" w:space="0" w:color="auto"/>
                <w:bottom w:val="none" w:sz="0" w:space="0" w:color="auto"/>
                <w:right w:val="none" w:sz="0" w:space="0" w:color="auto"/>
              </w:divBdr>
              <w:divsChild>
                <w:div w:id="135145485">
                  <w:marLeft w:val="0"/>
                  <w:marRight w:val="0"/>
                  <w:marTop w:val="0"/>
                  <w:marBottom w:val="0"/>
                  <w:divBdr>
                    <w:top w:val="none" w:sz="0" w:space="0" w:color="auto"/>
                    <w:left w:val="none" w:sz="0" w:space="0" w:color="auto"/>
                    <w:bottom w:val="none" w:sz="0" w:space="0" w:color="auto"/>
                    <w:right w:val="none" w:sz="0" w:space="0" w:color="auto"/>
                  </w:divBdr>
                  <w:divsChild>
                    <w:div w:id="568155263">
                      <w:marLeft w:val="0"/>
                      <w:marRight w:val="0"/>
                      <w:marTop w:val="0"/>
                      <w:marBottom w:val="0"/>
                      <w:divBdr>
                        <w:top w:val="none" w:sz="0" w:space="0" w:color="auto"/>
                        <w:left w:val="none" w:sz="0" w:space="0" w:color="auto"/>
                        <w:bottom w:val="none" w:sz="0" w:space="0" w:color="auto"/>
                        <w:right w:val="none" w:sz="0" w:space="0" w:color="auto"/>
                      </w:divBdr>
                      <w:divsChild>
                        <w:div w:id="839123805">
                          <w:marLeft w:val="0"/>
                          <w:marRight w:val="0"/>
                          <w:marTop w:val="0"/>
                          <w:marBottom w:val="0"/>
                          <w:divBdr>
                            <w:top w:val="none" w:sz="0" w:space="0" w:color="auto"/>
                            <w:left w:val="none" w:sz="0" w:space="0" w:color="auto"/>
                            <w:bottom w:val="none" w:sz="0" w:space="0" w:color="auto"/>
                            <w:right w:val="none" w:sz="0" w:space="0" w:color="auto"/>
                          </w:divBdr>
                          <w:divsChild>
                            <w:div w:id="1274702149">
                              <w:marLeft w:val="0"/>
                              <w:marRight w:val="300"/>
                              <w:marTop w:val="180"/>
                              <w:marBottom w:val="0"/>
                              <w:divBdr>
                                <w:top w:val="none" w:sz="0" w:space="0" w:color="auto"/>
                                <w:left w:val="none" w:sz="0" w:space="0" w:color="auto"/>
                                <w:bottom w:val="none" w:sz="0" w:space="0" w:color="auto"/>
                                <w:right w:val="none" w:sz="0" w:space="0" w:color="auto"/>
                              </w:divBdr>
                              <w:divsChild>
                                <w:div w:id="1903447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0594610">
          <w:marLeft w:val="0"/>
          <w:marRight w:val="0"/>
          <w:marTop w:val="0"/>
          <w:marBottom w:val="0"/>
          <w:divBdr>
            <w:top w:val="none" w:sz="0" w:space="0" w:color="auto"/>
            <w:left w:val="none" w:sz="0" w:space="0" w:color="auto"/>
            <w:bottom w:val="none" w:sz="0" w:space="0" w:color="auto"/>
            <w:right w:val="none" w:sz="0" w:space="0" w:color="auto"/>
          </w:divBdr>
          <w:divsChild>
            <w:div w:id="769816059">
              <w:marLeft w:val="0"/>
              <w:marRight w:val="0"/>
              <w:marTop w:val="0"/>
              <w:marBottom w:val="0"/>
              <w:divBdr>
                <w:top w:val="none" w:sz="0" w:space="0" w:color="auto"/>
                <w:left w:val="none" w:sz="0" w:space="0" w:color="auto"/>
                <w:bottom w:val="none" w:sz="0" w:space="0" w:color="auto"/>
                <w:right w:val="none" w:sz="0" w:space="0" w:color="auto"/>
              </w:divBdr>
              <w:divsChild>
                <w:div w:id="1910453903">
                  <w:marLeft w:val="0"/>
                  <w:marRight w:val="0"/>
                  <w:marTop w:val="0"/>
                  <w:marBottom w:val="0"/>
                  <w:divBdr>
                    <w:top w:val="none" w:sz="0" w:space="0" w:color="auto"/>
                    <w:left w:val="none" w:sz="0" w:space="0" w:color="auto"/>
                    <w:bottom w:val="none" w:sz="0" w:space="0" w:color="auto"/>
                    <w:right w:val="none" w:sz="0" w:space="0" w:color="auto"/>
                  </w:divBdr>
                  <w:divsChild>
                    <w:div w:id="1428572915">
                      <w:marLeft w:val="0"/>
                      <w:marRight w:val="0"/>
                      <w:marTop w:val="0"/>
                      <w:marBottom w:val="0"/>
                      <w:divBdr>
                        <w:top w:val="none" w:sz="0" w:space="0" w:color="auto"/>
                        <w:left w:val="none" w:sz="0" w:space="0" w:color="auto"/>
                        <w:bottom w:val="none" w:sz="0" w:space="0" w:color="auto"/>
                        <w:right w:val="none" w:sz="0" w:space="0" w:color="auto"/>
                      </w:divBdr>
                      <w:divsChild>
                        <w:div w:id="158278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037D38-D23A-472D-8FFA-19D48D53E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23</Pages>
  <Words>4573</Words>
  <Characters>26069</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Camha</dc:creator>
  <cp:keywords/>
  <dc:description/>
  <cp:lastModifiedBy>Minh Le</cp:lastModifiedBy>
  <cp:revision>86</cp:revision>
  <dcterms:created xsi:type="dcterms:W3CDTF">2020-05-26T13:12:00Z</dcterms:created>
  <dcterms:modified xsi:type="dcterms:W3CDTF">2021-01-13T09:12:00Z</dcterms:modified>
</cp:coreProperties>
</file>